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pPr>
      <w:r>
        <w:rPr>
          <w:szCs w:val="24"/>
        </w:rPr>
        <w:t>2016</w:t>
      </w:r>
    </w:p>
    <w:p>
      <w:pPr>
        <w:pStyle w:val="Normal"/>
        <w:numPr>
          <w:ilvl w:val="0"/>
          <w:numId w:val="0"/>
        </w:numPr>
        <w:spacing w:lineRule="auto" w:line="240"/>
        <w:ind w:left="720" w:hanging="0"/>
        <w:rPr>
          <w:szCs w:val="24"/>
        </w:rPr>
      </w:pPr>
      <w:r>
        <w:rPr>
          <w:szCs w:val="24"/>
        </w:rPr>
      </w:r>
    </w:p>
    <w:p>
      <w:pPr>
        <w:pStyle w:val="Style14"/>
        <w:widowControl w:val="false"/>
        <w:numPr>
          <w:ilvl w:val="0"/>
          <w:numId w:val="1"/>
        </w:numPr>
        <w:spacing w:lineRule="auto" w:line="240" w:before="0" w:after="120"/>
        <w:contextualSpacing/>
        <w:rPr/>
      </w:pPr>
      <w:r>
        <w:rPr>
          <w:rFonts w:cs="Times New Roman" w:ascii="Times New Roman" w:hAnsi="Times New Roman"/>
          <w:spacing w:val="1"/>
          <w:sz w:val="24"/>
          <w:szCs w:val="24"/>
        </w:rPr>
        <w:t>Фомина, М. В. Современные подходы к синтезу и перспективы использования цианиновых красителей, содержащих функциональные группы в N</w:t>
        <w:noBreakHyphen/>
        <w:t xml:space="preserve">заместителях / М. В. Фомина, А. С. Никифоров, С. П. Громов // Усп. хим. </w:t>
      </w:r>
      <w:r>
        <w:rPr>
          <w:rFonts w:cs="Times New Roman" w:ascii="Times New Roman" w:hAnsi="Times New Roman"/>
          <w:sz w:val="24"/>
          <w:szCs w:val="24"/>
        </w:rPr>
        <w:t>—</w:t>
      </w:r>
      <w:r>
        <w:rPr>
          <w:rFonts w:cs="Times New Roman" w:ascii="Times New Roman" w:hAnsi="Times New Roman"/>
          <w:spacing w:val="1"/>
          <w:sz w:val="24"/>
          <w:szCs w:val="24"/>
        </w:rPr>
        <w:t xml:space="preserve"> 2016. </w:t>
      </w:r>
      <w:r>
        <w:rPr>
          <w:rFonts w:cs="Times New Roman" w:ascii="Times New Roman" w:hAnsi="Times New Roman"/>
          <w:sz w:val="24"/>
          <w:szCs w:val="24"/>
        </w:rPr>
        <w:t>—</w:t>
      </w:r>
      <w:r>
        <w:rPr>
          <w:rFonts w:cs="Times New Roman" w:ascii="Times New Roman" w:hAnsi="Times New Roman"/>
          <w:spacing w:val="1"/>
          <w:sz w:val="24"/>
          <w:szCs w:val="24"/>
        </w:rPr>
        <w:t xml:space="preserve"> Т. 85. </w:t>
      </w:r>
      <w:r>
        <w:rPr>
          <w:rFonts w:cs="Times New Roman" w:ascii="Times New Roman" w:hAnsi="Times New Roman"/>
          <w:sz w:val="24"/>
          <w:szCs w:val="24"/>
        </w:rPr>
        <w:t>—</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В</w:t>
      </w:r>
      <w:r>
        <w:rPr>
          <w:rFonts w:cs="Times New Roman" w:ascii="Times New Roman" w:hAnsi="Times New Roman"/>
          <w:spacing w:val="1"/>
          <w:sz w:val="24"/>
          <w:szCs w:val="24"/>
        </w:rPr>
        <w:t>ы</w:t>
      </w:r>
      <w:r>
        <w:rPr>
          <w:rFonts w:cs="Times New Roman" w:ascii="Times New Roman" w:hAnsi="Times New Roman"/>
          <w:spacing w:val="-1"/>
          <w:sz w:val="24"/>
          <w:szCs w:val="24"/>
        </w:rPr>
        <w:t>п</w:t>
      </w:r>
      <w:r>
        <w:rPr>
          <w:rFonts w:cs="Times New Roman" w:ascii="Times New Roman" w:hAnsi="Times New Roman"/>
          <w:sz w:val="24"/>
          <w:szCs w:val="24"/>
        </w:rPr>
        <w:t>.</w:t>
      </w:r>
      <w:r>
        <w:rPr>
          <w:rFonts w:cs="Times New Roman" w:ascii="Times New Roman" w:hAnsi="Times New Roman"/>
          <w:spacing w:val="1"/>
          <w:sz w:val="24"/>
          <w:szCs w:val="24"/>
        </w:rPr>
        <w:t xml:space="preserve"> 7. </w:t>
      </w:r>
      <w:r>
        <w:rPr>
          <w:rFonts w:cs="Times New Roman" w:ascii="Times New Roman" w:hAnsi="Times New Roman"/>
          <w:sz w:val="24"/>
          <w:szCs w:val="24"/>
        </w:rPr>
        <w:t>—</w:t>
      </w:r>
      <w:r>
        <w:rPr>
          <w:rFonts w:cs="Times New Roman" w:ascii="Times New Roman" w:hAnsi="Times New Roman"/>
          <w:spacing w:val="1"/>
          <w:sz w:val="24"/>
          <w:szCs w:val="24"/>
        </w:rPr>
        <w:t xml:space="preserve"> С. 684</w:t>
      </w:r>
      <w:r>
        <w:rPr>
          <w:rFonts w:cs="Times New Roman" w:ascii="Times New Roman" w:hAnsi="Times New Roman"/>
          <w:sz w:val="24"/>
          <w:szCs w:val="24"/>
        </w:rPr>
        <w:t>—</w:t>
      </w:r>
      <w:r>
        <w:rPr>
          <w:rFonts w:cs="Times New Roman" w:ascii="Times New Roman" w:hAnsi="Times New Roman"/>
          <w:spacing w:val="1"/>
          <w:sz w:val="24"/>
          <w:szCs w:val="24"/>
        </w:rPr>
        <w:t xml:space="preserve">699. </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2014</w:t>
      </w:r>
    </w:p>
    <w:p>
      <w:pPr>
        <w:pStyle w:val="Normal"/>
        <w:numPr>
          <w:ilvl w:val="0"/>
          <w:numId w:val="0"/>
        </w:numPr>
        <w:spacing w:lineRule="auto" w:line="240"/>
        <w:ind w:left="720" w:hanging="0"/>
        <w:rPr>
          <w:szCs w:val="24"/>
        </w:rPr>
      </w:pPr>
      <w:r>
        <w:rPr>
          <w:szCs w:val="24"/>
        </w:rPr>
      </w:r>
    </w:p>
    <w:p>
      <w:pPr>
        <w:pStyle w:val="Normal"/>
        <w:widowControl w:val="false"/>
        <w:numPr>
          <w:ilvl w:val="0"/>
          <w:numId w:val="1"/>
        </w:numPr>
        <w:spacing w:lineRule="auto" w:line="240" w:before="0" w:after="0"/>
        <w:contextualSpacing/>
        <w:jc w:val="both"/>
        <w:rPr/>
      </w:pPr>
      <w:r>
        <w:rPr>
          <w:szCs w:val="24"/>
          <w:lang w:val="en-US"/>
        </w:rPr>
        <w:t xml:space="preserve">Fomina M. V., Nikiforov A. S., Vedernikov A. I., Kurchavov N. A., Gromov S. P. “Self-assembly of supramolecular complexes of cyanine dyes containing terminal ammonium groups with bis(18-crown-6)stilbene.” // </w:t>
      </w:r>
      <w:r>
        <w:rPr>
          <w:b/>
          <w:i/>
          <w:szCs w:val="24"/>
          <w:lang w:val="en-US"/>
        </w:rPr>
        <w:t>Mendeleev Commun.</w:t>
      </w:r>
      <w:r>
        <w:rPr>
          <w:szCs w:val="24"/>
          <w:lang w:val="en-US"/>
        </w:rPr>
        <w:t xml:space="preserve"> </w:t>
      </w:r>
      <w:bookmarkStart w:id="0" w:name="OLE_LINK115"/>
      <w:bookmarkStart w:id="1" w:name="OLE_LINK114"/>
      <w:bookmarkStart w:id="2" w:name="OLE_LINK113"/>
      <w:r>
        <w:rPr>
          <w:szCs w:val="24"/>
          <w:lang w:val="en-US"/>
        </w:rPr>
        <w:t>– 2014. – V. 24. – P. 295-297</w:t>
      </w:r>
      <w:bookmarkEnd w:id="0"/>
      <w:bookmarkEnd w:id="1"/>
      <w:bookmarkEnd w:id="2"/>
      <w:r>
        <w:rPr>
          <w:szCs w:val="24"/>
          <w:lang w:val="en-US"/>
        </w:rPr>
        <w:t xml:space="preserve">. </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2013</w:t>
      </w:r>
    </w:p>
    <w:p>
      <w:pPr>
        <w:pStyle w:val="Normal"/>
        <w:numPr>
          <w:ilvl w:val="0"/>
          <w:numId w:val="0"/>
        </w:numPr>
        <w:spacing w:lineRule="auto" w:line="240"/>
        <w:ind w:left="720" w:hanging="0"/>
        <w:rPr>
          <w:szCs w:val="24"/>
        </w:rPr>
      </w:pPr>
      <w:r>
        <w:rPr>
          <w:szCs w:val="24"/>
        </w:rPr>
      </w:r>
    </w:p>
    <w:p>
      <w:pPr>
        <w:pStyle w:val="Normal"/>
        <w:numPr>
          <w:ilvl w:val="0"/>
          <w:numId w:val="1"/>
        </w:numPr>
        <w:spacing w:lineRule="auto" w:line="240"/>
        <w:rPr/>
      </w:pPr>
      <w:bookmarkStart w:id="3" w:name="OLE_LINK35"/>
      <w:bookmarkStart w:id="4" w:name="OLE_LINK37"/>
      <w:bookmarkStart w:id="5" w:name="OLE_LINK36"/>
      <w:r>
        <w:rPr>
          <w:szCs w:val="24"/>
        </w:rPr>
        <w:t>Назаров В. Б., Авакян В. Г., Фомина М. В., Ведерников А. И., Алфимов М. В., Громов С. П. «Спектральные свойства протонированного нафтилпиридина в присутствии циклодекстринов.» // Изв. РАН. – 2013. - № 10. - С. 2150-2157</w:t>
      </w:r>
      <w:bookmarkEnd w:id="3"/>
      <w:bookmarkEnd w:id="4"/>
      <w:bookmarkEnd w:id="5"/>
      <w:r>
        <w:rPr>
          <w:szCs w:val="24"/>
        </w:rPr>
        <w:t>.</w:t>
      </w:r>
    </w:p>
    <w:p>
      <w:pPr>
        <w:pStyle w:val="Normal"/>
        <w:numPr>
          <w:ilvl w:val="0"/>
          <w:numId w:val="0"/>
        </w:numPr>
        <w:spacing w:lineRule="auto" w:line="240"/>
        <w:ind w:left="720" w:hanging="0"/>
        <w:rPr>
          <w:szCs w:val="24"/>
        </w:rPr>
      </w:pPr>
      <w:r>
        <w:rPr>
          <w:szCs w:val="24"/>
        </w:rPr>
      </w:r>
    </w:p>
    <w:p>
      <w:pPr>
        <w:pStyle w:val="Normal"/>
        <w:widowControl w:val="false"/>
        <w:numPr>
          <w:ilvl w:val="0"/>
          <w:numId w:val="1"/>
        </w:numPr>
        <w:spacing w:lineRule="auto" w:line="240" w:before="0" w:after="0"/>
        <w:contextualSpacing/>
        <w:jc w:val="both"/>
        <w:rPr/>
      </w:pPr>
      <w:r>
        <w:rPr>
          <w:szCs w:val="24"/>
          <w:lang w:val="en-US"/>
        </w:rPr>
        <w:t xml:space="preserve">Gromov S. P., Fomina M. V., Nikiforov A. S., Vedernikov A. I., Kuz’mina L. G., Howard J. A. K. “Synthesis of symmetrical cyanine dyes with two N-ammonioalkyl groups.” // </w:t>
      </w:r>
      <w:r>
        <w:rPr>
          <w:b/>
          <w:i/>
          <w:szCs w:val="24"/>
          <w:lang w:val="en-US"/>
        </w:rPr>
        <w:t>Tetrahedron.</w:t>
      </w:r>
      <w:r>
        <w:rPr>
          <w:szCs w:val="24"/>
          <w:lang w:val="en-US"/>
        </w:rPr>
        <w:t xml:space="preserve"> – 2013. – V. 69. – P. 5898-5907.</w:t>
      </w:r>
    </w:p>
    <w:p>
      <w:pPr>
        <w:pStyle w:val="Normal"/>
        <w:numPr>
          <w:ilvl w:val="0"/>
          <w:numId w:val="0"/>
        </w:numPr>
        <w:spacing w:lineRule="auto" w:line="240"/>
        <w:ind w:left="720" w:hanging="0"/>
        <w:rPr>
          <w:szCs w:val="24"/>
        </w:rPr>
      </w:pPr>
      <w:r>
        <w:rPr>
          <w:szCs w:val="24"/>
        </w:rPr>
      </w:r>
    </w:p>
    <w:p>
      <w:pPr>
        <w:pStyle w:val="Normal"/>
        <w:numPr>
          <w:ilvl w:val="0"/>
          <w:numId w:val="0"/>
        </w:numPr>
        <w:spacing w:lineRule="auto" w:line="240"/>
        <w:ind w:left="720" w:hanging="0"/>
        <w:rPr/>
      </w:pPr>
      <w:r>
        <w:rPr>
          <w:szCs w:val="24"/>
        </w:rPr>
        <w:t>2011</w:t>
      </w:r>
    </w:p>
    <w:p>
      <w:pPr>
        <w:pStyle w:val="Normal"/>
        <w:numPr>
          <w:ilvl w:val="0"/>
          <w:numId w:val="1"/>
        </w:numPr>
        <w:spacing w:lineRule="auto" w:line="240"/>
        <w:jc w:val="both"/>
        <w:rPr/>
      </w:pPr>
      <w:r>
        <w:rPr>
          <w:szCs w:val="24"/>
          <w:lang w:val="en-GB"/>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i/>
          <w:szCs w:val="24"/>
          <w:lang w:val="en-GB"/>
        </w:rPr>
        <w:t>J. Photochem. Photobiol., A</w:t>
      </w:r>
      <w:r>
        <w:rPr>
          <w:szCs w:val="24"/>
          <w:lang w:val="en-GB"/>
        </w:rPr>
        <w:t xml:space="preserve"> – 2011. – V. 217. – P. 87-99. </w:t>
      </w:r>
    </w:p>
    <w:p>
      <w:pPr>
        <w:pStyle w:val="Normal"/>
        <w:numPr>
          <w:ilvl w:val="0"/>
          <w:numId w:val="0"/>
        </w:numPr>
        <w:spacing w:lineRule="auto" w:line="240"/>
        <w:ind w:left="720" w:hanging="0"/>
        <w:rPr/>
      </w:pPr>
      <w:r>
        <w:rPr>
          <w:szCs w:val="24"/>
        </w:rPr>
        <w:t>2010</w:t>
      </w:r>
    </w:p>
    <w:p>
      <w:pPr>
        <w:pStyle w:val="Normal"/>
        <w:numPr>
          <w:ilvl w:val="0"/>
          <w:numId w:val="1"/>
        </w:numPr>
        <w:spacing w:lineRule="auto" w:line="240"/>
        <w:rPr/>
      </w:pPr>
      <w:r>
        <w:rPr>
          <w:szCs w:val="24"/>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szCs w:val="24"/>
        </w:rPr>
        <w:t>Изв. АН</w:t>
      </w:r>
      <w:r>
        <w:rPr>
          <w:i/>
          <w:szCs w:val="24"/>
          <w:lang w:val="en-US"/>
        </w:rPr>
        <w:t xml:space="preserve">, </w:t>
      </w:r>
      <w:r>
        <w:rPr>
          <w:i/>
          <w:szCs w:val="24"/>
        </w:rPr>
        <w:t>Сер</w:t>
      </w:r>
      <w:r>
        <w:rPr>
          <w:i/>
          <w:szCs w:val="24"/>
          <w:lang w:val="en-US"/>
        </w:rPr>
        <w:t xml:space="preserve">. </w:t>
      </w:r>
      <w:r>
        <w:rPr>
          <w:i/>
          <w:szCs w:val="24"/>
        </w:rPr>
        <w:t>хим</w:t>
      </w:r>
      <w:r>
        <w:rPr>
          <w:szCs w:val="24"/>
          <w:lang w:val="en-US"/>
        </w:rPr>
        <w:t xml:space="preserve">. – 2010. - № 5. – </w:t>
      </w:r>
      <w:r>
        <w:rPr>
          <w:szCs w:val="24"/>
        </w:rPr>
        <w:t>С</w:t>
      </w:r>
      <w:r>
        <w:rPr>
          <w:szCs w:val="24"/>
          <w:lang w:val="en-US"/>
        </w:rPr>
        <w:t xml:space="preserve">. 919-931 </w:t>
      </w:r>
      <w:r>
        <w:rPr>
          <w:lang w:val="en-US"/>
        </w:rPr>
        <w:t>[</w:t>
      </w:r>
      <w:r>
        <w:rPr>
          <w:i/>
          <w:lang w:val="en-US"/>
        </w:rPr>
        <w:t>Russ. Chem. Bull.</w:t>
      </w:r>
      <w:r>
        <w:rPr>
          <w:lang w:val="en-US"/>
        </w:rPr>
        <w:t xml:space="preserve">, 2010, </w:t>
      </w:r>
      <w:r>
        <w:rPr>
          <w:b/>
          <w:lang w:val="en-US"/>
        </w:rPr>
        <w:t>59</w:t>
      </w:r>
      <w:r>
        <w:rPr>
          <w:lang w:val="en-US"/>
        </w:rPr>
        <w:t xml:space="preserve">, </w:t>
      </w:r>
      <w:r>
        <w:rPr/>
        <w:t>ХХХ</w:t>
      </w:r>
      <w:r>
        <w:rPr>
          <w:lang w:val="en-US"/>
        </w:rPr>
        <w:t xml:space="preserve"> (Engl. Transl.)]</w:t>
      </w:r>
      <w:r>
        <w:rPr>
          <w:szCs w:val="24"/>
          <w:lang w:val="en-US"/>
        </w:rPr>
        <w:t xml:space="preserve">. </w:t>
      </w:r>
    </w:p>
    <w:p>
      <w:pPr>
        <w:pStyle w:val="Normal"/>
        <w:numPr>
          <w:ilvl w:val="0"/>
          <w:numId w:val="0"/>
        </w:numPr>
        <w:spacing w:lineRule="auto" w:line="240"/>
        <w:ind w:left="720" w:hanging="0"/>
        <w:rPr/>
      </w:pPr>
      <w:r>
        <w:rPr/>
      </w:r>
    </w:p>
    <w:p>
      <w:pPr>
        <w:pStyle w:val="Normal"/>
        <w:numPr>
          <w:ilvl w:val="0"/>
          <w:numId w:val="1"/>
        </w:numPr>
        <w:spacing w:lineRule="auto" w:line="240"/>
        <w:rPr/>
      </w:pPr>
      <w:r>
        <w:rPr>
          <w:szCs w:val="24"/>
          <w:lang w:val="en-US"/>
        </w:rPr>
        <w:t xml:space="preserve">Фомина М. В., Курчавов Н. А., Кузьмина Л. Г., Ховард Дж. А. К., Громов С. П. “Взаимодействие солей Цинке с иодидом 2,3-диметилбензотиазолия.” // </w:t>
      </w:r>
      <w:r>
        <w:rPr>
          <w:i/>
          <w:szCs w:val="24"/>
          <w:lang w:val="en-US"/>
        </w:rPr>
        <w:t>Изв. АН, Сер. хим</w:t>
      </w:r>
      <w:r>
        <w:rPr>
          <w:szCs w:val="24"/>
          <w:lang w:val="en-US"/>
        </w:rPr>
        <w:t xml:space="preserve">. – 2010. - №10. – С. 1924-1927.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WW8Num2z0">
    <w:name w:val="WW8Num2z0"/>
    <w:qFormat/>
    <w:rPr>
      <w:rFonts w:eastAsia="MS Mincho;ＭＳ 明朝"/>
      <w:iCs/>
      <w:lang w:val="en-US" w:eastAsia="ja-JP"/>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4">
    <w:name w:val="ListLabel 4"/>
    <w:qFormat/>
    <w:rPr>
      <w:b w:val="false"/>
      <w:i w:val="false"/>
      <w:sz w:val="24"/>
      <w:szCs w:val="24"/>
      <w:highlight w:val="yellow"/>
      <w:lang w:val="en-US"/>
    </w:rPr>
  </w:style>
  <w:style w:type="character" w:styleId="ListLabel5">
    <w:name w:val="ListLabel 5"/>
    <w:qFormat/>
    <w:rPr>
      <w:rFonts w:eastAsia="MS Mincho;ＭＳ 明朝"/>
      <w:iCs/>
      <w:lang w:val="en-US" w:eastAsia="ja-JP"/>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6">
    <w:name w:val="ListLabel 6"/>
    <w:qFormat/>
    <w:rPr>
      <w:b w:val="false"/>
      <w:i w:val="false"/>
      <w:sz w:val="24"/>
      <w:szCs w:val="24"/>
      <w:highlight w:val="yellow"/>
      <w:lang w:val="en-US"/>
    </w:rPr>
  </w:style>
  <w:style w:type="character" w:styleId="ListLabel7">
    <w:name w:val="ListLabel 7"/>
    <w:qFormat/>
    <w:rPr>
      <w:rFonts w:eastAsia="MS Mincho;ＭＳ 明朝"/>
      <w:iCs/>
      <w:lang w:val="en-US" w:eastAsia="ja-JP"/>
    </w:rPr>
  </w:style>
  <w:style w:type="character" w:styleId="ListLabel8">
    <w:name w:val="ListLabel 8"/>
    <w:qFormat/>
    <w:rPr>
      <w:rFonts w:eastAsia="MS Mincho;ＭＳ 明朝"/>
      <w:lang w:val="en-US" w:eastAsia="ja-JP"/>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MS Mincho;ＭＳ 明朝"/>
      <w:iCs/>
      <w:lang w:val="en-US" w:eastAsia="ja-JP"/>
    </w:rPr>
  </w:style>
  <w:style w:type="character" w:styleId="ListLabel11">
    <w:name w:val="ListLabel 11"/>
    <w:qFormat/>
    <w:rPr>
      <w:rFonts w:eastAsia="MS Mincho;ＭＳ 明朝"/>
      <w:lang w:val="en-US" w:eastAsia="ja-JP"/>
    </w:rPr>
  </w:style>
  <w:style w:type="character" w:styleId="WW8Num6z0">
    <w:name w:val="WW8Num6z0"/>
    <w:qFormat/>
    <w:rPr>
      <w:rFonts w:ascii="Times New Roman" w:hAnsi="Times New Roman" w:cs="Times New Roman"/>
      <w:spacing w:val="1"/>
      <w:sz w:val="24"/>
      <w:szCs w:val="24"/>
    </w:rPr>
  </w:style>
  <w:style w:type="character" w:styleId="ListLabel12">
    <w:name w:val="ListLabel 12"/>
    <w:qFormat/>
    <w:rPr>
      <w:b w:val="false"/>
      <w:i w:val="false"/>
      <w:sz w:val="24"/>
      <w:szCs w:val="24"/>
      <w:highlight w:val="yellow"/>
      <w:lang w:val="en-US"/>
    </w:rPr>
  </w:style>
  <w:style w:type="character" w:styleId="ListLabel13">
    <w:name w:val="ListLabel 13"/>
    <w:qFormat/>
    <w:rPr>
      <w:rFonts w:eastAsia="MS Mincho;ＭＳ 明朝"/>
      <w:iCs/>
      <w:lang w:val="en-US" w:eastAsia="ja-JP"/>
    </w:rPr>
  </w:style>
  <w:style w:type="character" w:styleId="ListLabel14">
    <w:name w:val="ListLabel 14"/>
    <w:qFormat/>
    <w:rPr>
      <w:rFonts w:eastAsia="MS Mincho;ＭＳ 明朝"/>
      <w:lang w:val="en-US" w:eastAsia="ja-JP"/>
    </w:rPr>
  </w:style>
  <w:style w:type="character" w:styleId="ListLabel15">
    <w:name w:val="ListLabel 15"/>
    <w:qFormat/>
    <w:rPr>
      <w:rFonts w:cs="Times New Roman"/>
      <w:spacing w:val="1"/>
      <w:sz w:val="24"/>
      <w:szCs w:val="24"/>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right="0" w:hanging="0"/>
      <w:contextualSpacing/>
    </w:pPr>
    <w:rPr/>
  </w:style>
  <w:style w:type="numbering" w:styleId="WW8Num30">
    <w:name w:val="WW8Num30"/>
    <w:qFormat/>
  </w:style>
  <w:style w:type="numbering" w:styleId="WW8Num1">
    <w:name w:val="WW8Num1"/>
    <w:qFormat/>
  </w:style>
  <w:style w:type="numbering" w:styleId="WW8Num2">
    <w:name w:val="WW8Num2"/>
    <w:qFormat/>
  </w:style>
  <w:style w:type="numbering" w:styleId="WW8Num3">
    <w:name w:val="WW8Num3"/>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ages>1</Pages>
  <Words>311</Words>
  <Characters>1635</Characters>
  <CharactersWithSpaces>1949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2017-05-02T13:20:32Z</dcterms:created>
  <dc:creator/>
  <dc:description/>
  <dc:language>en-US</dc:language>
  <cp:lastModifiedBy/>
  <dcterms:modified xsi:type="dcterms:W3CDTF">2017-05-18T12:52:12Z</dcterms:modified>
  <cp:revision>8</cp:revision>
  <dc:subject/>
  <dc:title/>
</cp:coreProperties>
</file>