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numPr>
          <w:ilvl w:val="0"/>
          <w:numId w:val="1"/>
        </w:numPr>
        <w:jc w:val="left"/>
        <w:rPr/>
      </w:pPr>
      <w:r>
        <w:rPr/>
        <w:t>Structure and Aggregation of β-Cyclodextrin–Pyrene–Analyte Supramolecular Sensor: Absorption/Emission Spectra and Simulations / V. G. Avakyan, V. B. Nazarov, A. V. Odinokov, A. V. Koshkin, M. V. Alfimov // Journal of Luminescence – 2016 – V. 180. – P. 328-340.</w:t>
      </w:r>
    </w:p>
    <w:p>
      <w:pPr>
        <w:pStyle w:val="TextBody"/>
        <w:numPr>
          <w:ilvl w:val="0"/>
          <w:numId w:val="1"/>
        </w:numPr>
        <w:jc w:val="left"/>
        <w:rPr/>
      </w:pPr>
      <w:r>
        <w:rPr/>
        <w:t>Исследование методами ЭПР и DFT структуры и молекулярной динамики  комплексов гость/хозяин радикала ТЕМПО с кукурбитурилом. / В.А. Лившиц, Б.Б. Мешков, В.Г. Авакян, Б.Г. Дзиковский, М.В. Алфимов // Химия высоких энергий – принята в печать.</w:t>
      </w:r>
    </w:p>
    <w:p>
      <w:pPr>
        <w:pStyle w:val="TextBody"/>
        <w:numPr>
          <w:ilvl w:val="0"/>
          <w:numId w:val="1"/>
        </w:numPr>
        <w:jc w:val="left"/>
        <w:rPr/>
      </w:pPr>
      <w:r>
        <w:rPr/>
        <w:t>Влияние кукурбит[8]урила на спектрально-люминесцентные свойства алкилзамещенных тиакарбоцианинов. / Г. В. Захарова, В. Г. Авакян, А. К. Чибисов, М. В. Алфимов // Химия высоких энергий – в печати.</w:t>
      </w:r>
    </w:p>
    <w:p>
      <w:pPr>
        <w:pStyle w:val="TextBody"/>
        <w:numPr>
          <w:ilvl w:val="0"/>
          <w:numId w:val="1"/>
        </w:numPr>
        <w:jc w:val="left"/>
        <w:rPr/>
      </w:pPr>
      <w:r>
        <w:rPr/>
        <w:t xml:space="preserve">An ultrafast pre-organization of the [2 +2] photocycloaddition of styryl dyes in 1: 2 host- guest complexes with cucurbit[8]urils. </w:t>
      </w:r>
      <w:bookmarkStart w:id="0" w:name="OLE_LINK79"/>
      <w:r>
        <w:rPr/>
        <w:t>/</w:t>
      </w:r>
      <w:bookmarkEnd w:id="0"/>
      <w:r>
        <w:rPr/>
        <w:t xml:space="preserve"> N. Kh. Petrov , D.A. Ivanov, Yu.A. Shandarov, I.V. Kryukov, A.D. Svirida, V.G. Avakyan, M.V. Alfimov, N.A. Lobova, S.P. Gromov </w:t>
      </w:r>
      <w:bookmarkStart w:id="1" w:name="OLE_LINK82"/>
      <w:bookmarkStart w:id="2" w:name="OLE_LINK81"/>
      <w:bookmarkStart w:id="3" w:name="OLE_LINK80"/>
      <w:r>
        <w:rPr/>
        <w:t xml:space="preserve">// Chem Phys Letters. </w:t>
      </w:r>
      <w:bookmarkEnd w:id="1"/>
      <w:bookmarkEnd w:id="2"/>
      <w:bookmarkEnd w:id="3"/>
      <w:r>
        <w:rPr/>
        <w:t>- в печати.</w:t>
      </w:r>
    </w:p>
    <w:p>
      <w:pPr>
        <w:pStyle w:val="TextBody"/>
        <w:numPr>
          <w:ilvl w:val="0"/>
          <w:numId w:val="1"/>
        </w:numPr>
        <w:jc w:val="left"/>
        <w:rPr/>
      </w:pPr>
      <w:r>
        <w:rPr>
          <w:rFonts w:eastAsia="Times New Roman" w:cs="Times New Roman"/>
          <w:szCs w:val="24"/>
          <w:lang w:val="it-IT" w:eastAsia="ru-RU"/>
        </w:rPr>
        <w:t xml:space="preserve">Петров. Н.Х., Иванов Д.А., Шандаров Ю.А., Крюков И.В., Авакян В.Г., Алфимов М.В., Сазонов С.К., Громов С.П. </w:t>
      </w:r>
      <w:r>
        <w:rPr>
          <w:rFonts w:eastAsia="Times New Roman" w:cs="Times New Roman"/>
          <w:szCs w:val="24"/>
          <w:lang w:eastAsia="ru-RU"/>
        </w:rPr>
        <w:t>«</w:t>
      </w:r>
      <w:r>
        <w:rPr>
          <w:rFonts w:eastAsia="Times New Roman" w:cs="Times New Roman"/>
          <w:szCs w:val="24"/>
          <w:lang w:val="it-IT" w:eastAsia="ru-RU"/>
        </w:rPr>
        <w:t>Сверхбыстрая кинетика затухания флуоресценции водных растворов производных стирилового красителя и их комплексов с кукурбит[7]урилом.</w:t>
      </w:r>
      <w:r>
        <w:rPr>
          <w:rFonts w:eastAsia="Times New Roman" w:cs="Times New Roman"/>
          <w:szCs w:val="24"/>
          <w:lang w:eastAsia="ru-RU"/>
        </w:rPr>
        <w:t>»//</w:t>
      </w:r>
      <w:r>
        <w:rPr>
          <w:rFonts w:eastAsia="Times New Roman" w:cs="Times New Roman"/>
          <w:szCs w:val="24"/>
          <w:lang w:val="it-IT" w:eastAsia="ru-RU"/>
        </w:rPr>
        <w:t xml:space="preserve"> </w:t>
      </w:r>
      <w:r>
        <w:rPr>
          <w:rFonts w:eastAsia="Times New Roman" w:cs="Times New Roman"/>
          <w:i/>
          <w:szCs w:val="24"/>
          <w:lang w:val="it-IT" w:eastAsia="ru-RU"/>
        </w:rPr>
        <w:t>РОСИЙСКИЕ НАНОТЕХНОЛОГИИ</w:t>
      </w:r>
      <w:r>
        <w:rPr>
          <w:rFonts w:eastAsia="Times New Roman" w:cs="Times New Roman"/>
          <w:szCs w:val="24"/>
          <w:lang w:val="it-IT" w:eastAsia="ru-RU"/>
        </w:rPr>
        <w:t xml:space="preserve">, </w:t>
      </w:r>
      <w:r>
        <w:rPr>
          <w:rFonts w:eastAsia="Times New Roman" w:cs="Times New Roman"/>
          <w:szCs w:val="24"/>
          <w:lang w:eastAsia="ru-RU"/>
        </w:rPr>
        <w:t>-</w:t>
      </w:r>
      <w:r>
        <w:rPr>
          <w:rFonts w:eastAsia="Times New Roman" w:cs="Times New Roman"/>
          <w:szCs w:val="24"/>
          <w:lang w:val="it-IT" w:eastAsia="ru-RU"/>
        </w:rPr>
        <w:t xml:space="preserve"> 2015</w:t>
      </w:r>
      <w:r>
        <w:rPr>
          <w:rFonts w:eastAsia="Times New Roman" w:cs="Times New Roman"/>
          <w:szCs w:val="24"/>
          <w:lang w:eastAsia="ru-RU"/>
        </w:rPr>
        <w:t>.-Т.</w:t>
      </w:r>
      <w:r>
        <w:rPr>
          <w:rFonts w:eastAsia="Times New Roman" w:cs="Times New Roman"/>
          <w:szCs w:val="24"/>
          <w:lang w:val="it-IT" w:eastAsia="ru-RU"/>
        </w:rPr>
        <w:t>10</w:t>
      </w:r>
      <w:r>
        <w:rPr>
          <w:rFonts w:eastAsia="Times New Roman" w:cs="Times New Roman"/>
          <w:szCs w:val="24"/>
          <w:lang w:eastAsia="ru-RU"/>
        </w:rPr>
        <w:t>.-</w:t>
      </w:r>
      <w:r>
        <w:rPr>
          <w:rFonts w:eastAsia="Times New Roman" w:cs="Times New Roman"/>
          <w:szCs w:val="24"/>
          <w:lang w:val="it-IT" w:eastAsia="ru-RU"/>
        </w:rPr>
        <w:t xml:space="preserve"> № 11–12</w:t>
      </w:r>
      <w:r>
        <w:rPr>
          <w:rFonts w:eastAsia="Times New Roman" w:cs="Times New Roman"/>
          <w:szCs w:val="24"/>
          <w:lang w:eastAsia="ru-RU"/>
        </w:rPr>
        <w:t>. С.</w:t>
      </w:r>
      <w:r>
        <w:rPr>
          <w:rFonts w:eastAsia="Times New Roman" w:cs="Times New Roman"/>
          <w:szCs w:val="24"/>
          <w:lang w:val="it-IT" w:eastAsia="ru-RU"/>
        </w:rPr>
        <w:t xml:space="preserve"> 85-90.</w:t>
      </w:r>
    </w:p>
    <w:p>
      <w:pPr>
        <w:pStyle w:val="TextBody"/>
        <w:numPr>
          <w:ilvl w:val="0"/>
          <w:numId w:val="1"/>
        </w:numPr>
        <w:jc w:val="left"/>
        <w:rPr/>
      </w:pPr>
      <w:r>
        <w:rPr>
          <w:rFonts w:eastAsia="Calibri" w:cs="Times New Roman"/>
          <w:szCs w:val="24"/>
        </w:rPr>
        <w:t xml:space="preserve">Захарова Г. В., Авакян В. Г., Маркелов В. П., Святославский Н. Л., Святославская Т. А., Чибисов А. К.. “Влияние кукурбитурила на первичные фотопроцессы индокарбоцианиновых красителей в воде.” // </w:t>
      </w:r>
      <w:r>
        <w:rPr>
          <w:rFonts w:eastAsia="Calibri" w:cs="Times New Roman"/>
          <w:i/>
          <w:szCs w:val="24"/>
        </w:rPr>
        <w:t>Химия высоких энергий</w:t>
      </w:r>
      <w:r>
        <w:rPr>
          <w:rFonts w:eastAsia="Calibri" w:cs="Times New Roman"/>
          <w:szCs w:val="24"/>
        </w:rPr>
        <w:t>. - 2015. - Т. 49. - № 6. - С. 451-457.</w:t>
      </w:r>
    </w:p>
    <w:p>
      <w:pPr>
        <w:pStyle w:val="TextBody"/>
        <w:numPr>
          <w:ilvl w:val="0"/>
          <w:numId w:val="1"/>
        </w:numPr>
        <w:jc w:val="left"/>
        <w:rPr/>
      </w:pPr>
      <w:r>
        <w:rPr>
          <w:rFonts w:eastAsia="Calibri" w:cs="Times New Roman"/>
          <w:b w:val="false"/>
          <w:bCs w:val="false"/>
          <w:iCs/>
          <w:szCs w:val="24"/>
        </w:rPr>
        <w:t>Авакян В. Г., Назаров В. Б., Кошкин А. В., Алфимов М. В. «</w:t>
      </w:r>
      <w:r>
        <w:rPr>
          <w:rFonts w:eastAsia="Calibri" w:cs="Times New Roman"/>
          <w:b w:val="false"/>
          <w:bCs w:val="false"/>
          <w:szCs w:val="24"/>
        </w:rPr>
        <w:t xml:space="preserve">Вибронная структура спектров </w:t>
      </w:r>
      <w:r>
        <w:rPr>
          <w:rStyle w:val="Emphasis"/>
          <w:rFonts w:eastAsia="Calibri" w:cs="Times New Roman"/>
          <w:b w:val="false"/>
          <w:bCs w:val="false"/>
          <w:i w:val="false"/>
          <w:szCs w:val="24"/>
        </w:rPr>
        <w:t>электронного поглощения и</w:t>
      </w:r>
      <w:r>
        <w:rPr>
          <w:rStyle w:val="Emphasis"/>
          <w:rFonts w:eastAsia="Calibri" w:cs="Times New Roman"/>
          <w:b w:val="false"/>
          <w:bCs w:val="false"/>
          <w:color w:val="0000FF"/>
          <w:szCs w:val="24"/>
        </w:rPr>
        <w:t xml:space="preserve"> </w:t>
      </w:r>
      <w:r>
        <w:rPr>
          <w:rFonts w:eastAsia="Calibri" w:cs="Times New Roman"/>
          <w:b w:val="false"/>
          <w:bCs w:val="false"/>
          <w:szCs w:val="24"/>
        </w:rPr>
        <w:t xml:space="preserve">флуоресценции пирена в комплексе с бета-циклодекстрином в присутствие  неполярных и полярных растворителей». </w:t>
      </w:r>
      <w:r>
        <w:rPr>
          <w:rFonts w:eastAsia="Calibri" w:cs="Times New Roman"/>
          <w:b w:val="false"/>
          <w:bCs w:val="false"/>
          <w:i/>
          <w:szCs w:val="24"/>
        </w:rPr>
        <w:t>Химия высоких энергий</w:t>
      </w:r>
      <w:r>
        <w:rPr>
          <w:rFonts w:eastAsia="Calibri" w:cs="Times New Roman"/>
          <w:b w:val="false"/>
          <w:bCs w:val="false"/>
          <w:szCs w:val="24"/>
        </w:rPr>
        <w:t>. 2015. – Т. 49. – № 3. –  С.1-6.</w:t>
      </w:r>
    </w:p>
    <w:p>
      <w:pPr>
        <w:pStyle w:val="TextBody"/>
        <w:numPr>
          <w:ilvl w:val="0"/>
          <w:numId w:val="1"/>
        </w:numPr>
        <w:jc w:val="left"/>
        <w:rPr/>
      </w:pPr>
      <w:r>
        <w:rPr>
          <w:rFonts w:eastAsia="Calibri" w:cs="Times New Roman"/>
          <w:szCs w:val="24"/>
          <w:lang w:val="en-US" w:eastAsia="ru-RU"/>
        </w:rPr>
        <w:t xml:space="preserve">Zakharova G. V., Zhizhimov D. A., Sazonov S. K., Avakyan V. G., Gromov S. P., Görner H., Chibisov A. K. “Photoprocesses of alkyl meso-thiacarbocyanine dyes in the presence of cucurbit[7]uril.” // </w:t>
      </w:r>
      <w:r>
        <w:rPr>
          <w:rFonts w:eastAsia="Calibri" w:cs="Times New Roman"/>
          <w:i/>
          <w:iCs/>
          <w:szCs w:val="24"/>
          <w:lang w:val="en-US" w:eastAsia="ru-RU"/>
        </w:rPr>
        <w:t xml:space="preserve">J. Photochem. </w:t>
      </w:r>
      <w:r>
        <w:rPr>
          <w:rFonts w:eastAsia="Calibri" w:cs="Times New Roman"/>
          <w:i/>
          <w:iCs/>
          <w:szCs w:val="24"/>
          <w:lang w:val="it-IT" w:eastAsia="ru-RU"/>
        </w:rPr>
        <w:t>Photobio. A</w:t>
      </w:r>
      <w:r>
        <w:rPr>
          <w:rFonts w:eastAsia="Calibri" w:cs="Times New Roman"/>
          <w:szCs w:val="24"/>
          <w:lang w:val="it-IT" w:eastAsia="ru-RU"/>
        </w:rPr>
        <w:t>. – 2015. – V. 302. – P. 69-77; DOI: 10.1016/j.jphotochem.2015.01.011.</w:t>
      </w:r>
    </w:p>
    <w:p>
      <w:pPr>
        <w:pStyle w:val="TextBody"/>
        <w:numPr>
          <w:ilvl w:val="0"/>
          <w:numId w:val="1"/>
        </w:numPr>
        <w:jc w:val="left"/>
        <w:rPr/>
      </w:pPr>
      <w:r>
        <w:rPr/>
        <w:t>Захарова Г. В., Жижимов Д. А., Авакян В. Г., Сазонов С. К., Громов С. П., Чибисов А. К. “Особенность фотоники димеров 3,3'-диэтил-5,5'-дихлор-9-этилтиакарбоцианина в присутствии кукурбит[7]урила.” // Химия высоких энергий. – 2014. – Т. 48. - № 2. – С. 104-108.</w:t>
      </w:r>
    </w:p>
    <w:p>
      <w:pPr>
        <w:pStyle w:val="TextBody"/>
        <w:numPr>
          <w:ilvl w:val="0"/>
          <w:numId w:val="1"/>
        </w:numPr>
        <w:jc w:val="left"/>
        <w:rPr/>
      </w:pPr>
      <w:r>
        <w:rPr>
          <w:rFonts w:eastAsia="Times New Roman"/>
          <w:szCs w:val="24"/>
          <w:lang w:val="en-US" w:eastAsia="ru-RU"/>
        </w:rPr>
        <w:t xml:space="preserve">Zakharova, GV (Zakharova, G. V.); Zhizhimov, DA (Zhizhimov, D. A.); Avakyan, VG (Avakyan, V. G.); Sazonov, SK (Sazonov, S. K.); Gromov, SP (Gromov, S. P.); Chibisov, AK (Chibisov, A. K.), «Specificity of photonics of 3,3 '-diethyl-5,5 '-dichloro-9-ethylthiacarbocyanine dimers in the presence of cucurbit[7]uril» // HIGH ENERGY CHEMISTRY </w:t>
      </w:r>
      <w:r>
        <w:rPr>
          <w:szCs w:val="24"/>
          <w:lang w:val="en-US"/>
        </w:rPr>
        <w:t xml:space="preserve">– 2014. – </w:t>
      </w:r>
      <w:r>
        <w:rPr>
          <w:rFonts w:eastAsia="Times New Roman"/>
          <w:szCs w:val="24"/>
          <w:lang w:val="en-US" w:eastAsia="ru-RU"/>
        </w:rPr>
        <w:t>V</w:t>
      </w:r>
      <w:r>
        <w:rPr>
          <w:szCs w:val="24"/>
          <w:lang w:val="en-US"/>
        </w:rPr>
        <w:t xml:space="preserve">. 48. - № 2. - P. </w:t>
      </w:r>
      <w:r>
        <w:rPr>
          <w:rFonts w:eastAsia="Times New Roman"/>
          <w:szCs w:val="24"/>
          <w:lang w:val="en-US" w:eastAsia="ru-RU"/>
        </w:rPr>
        <w:t>76-80</w:t>
      </w:r>
    </w:p>
    <w:p>
      <w:pPr>
        <w:pStyle w:val="TextBody"/>
        <w:numPr>
          <w:ilvl w:val="0"/>
          <w:numId w:val="1"/>
        </w:numPr>
        <w:jc w:val="left"/>
        <w:rPr/>
      </w:pPr>
      <w:r>
        <w:rPr>
          <w:rFonts w:eastAsia="Times New Roman"/>
          <w:szCs w:val="24"/>
          <w:lang w:val="en-US" w:eastAsia="ru-RU"/>
        </w:rPr>
        <w:t xml:space="preserve">Avakyan V. G., Shapiro B. I., Alfimov M. V. “Dimers, tetramers, and octamers of mono- and trimethyne thiacarbocyanine dyes. Structure, formation energy, and absorbtion band shifts.” // </w:t>
      </w:r>
      <w:r>
        <w:rPr>
          <w:rFonts w:eastAsia="Times New Roman"/>
          <w:i/>
          <w:szCs w:val="24"/>
          <w:lang w:val="en-US" w:eastAsia="ru-RU"/>
        </w:rPr>
        <w:t>Dyes and Pigments</w:t>
      </w:r>
      <w:r>
        <w:rPr>
          <w:rFonts w:eastAsia="Times New Roman"/>
          <w:szCs w:val="24"/>
          <w:lang w:val="en-US" w:eastAsia="ru-RU"/>
        </w:rPr>
        <w:t xml:space="preserve"> </w:t>
      </w:r>
      <w:bookmarkStart w:id="4" w:name="OLE_LINK110"/>
      <w:bookmarkStart w:id="5" w:name="OLE_LINK111"/>
      <w:r>
        <w:rPr>
          <w:rFonts w:eastAsia="Times New Roman"/>
          <w:szCs w:val="24"/>
          <w:lang w:val="en-US" w:eastAsia="ru-RU"/>
        </w:rPr>
        <w:t>– 2014. – V. 109. – P. 21-33</w:t>
      </w:r>
      <w:bookmarkEnd w:id="4"/>
      <w:bookmarkEnd w:id="5"/>
      <w:r>
        <w:rPr>
          <w:rFonts w:eastAsia="Times New Roman"/>
          <w:szCs w:val="24"/>
          <w:lang w:val="en-US" w:eastAsia="ru-RU"/>
        </w:rPr>
        <w:t xml:space="preserve">. </w:t>
      </w:r>
    </w:p>
    <w:p>
      <w:pPr>
        <w:pStyle w:val="TextBody"/>
        <w:numPr>
          <w:ilvl w:val="0"/>
          <w:numId w:val="1"/>
        </w:numPr>
        <w:jc w:val="left"/>
        <w:rPr/>
      </w:pPr>
      <w:r>
        <w:rPr>
          <w:rFonts w:eastAsia="Times New Roman"/>
          <w:szCs w:val="24"/>
          <w:lang w:val="en-US" w:eastAsia="ru-RU"/>
        </w:rPr>
        <w:t xml:space="preserve">Chapala P. P., Bermeshev M. V., Starannikova L. E., Shantarovich V. P., Gavrilova N. N., Avakyan V. G., Filatova M. P., Yampolskii Yu. P., Finkelshtein E. Sh. “Gas-transport properties of new mixed matrix membranes based on addition poly(3-trimethylsilyltri-cyclononene-7) and substituted calixarenes”. // </w:t>
      </w:r>
      <w:r>
        <w:rPr>
          <w:rFonts w:eastAsia="Times New Roman"/>
          <w:i/>
          <w:szCs w:val="24"/>
          <w:lang w:val="en-US" w:eastAsia="ru-RU"/>
        </w:rPr>
        <w:t>Journal of Membrane Science.</w:t>
      </w:r>
      <w:r>
        <w:rPr>
          <w:rFonts w:eastAsia="Times New Roman"/>
          <w:szCs w:val="24"/>
          <w:lang w:val="en-US" w:eastAsia="ru-RU"/>
        </w:rPr>
        <w:t xml:space="preserve"> – 2015. – V. 474. – P.83-91.</w:t>
      </w:r>
    </w:p>
    <w:p>
      <w:pPr>
        <w:pStyle w:val="TextBody"/>
        <w:numPr>
          <w:ilvl w:val="0"/>
          <w:numId w:val="1"/>
        </w:numPr>
        <w:jc w:val="left"/>
        <w:rPr/>
      </w:pPr>
      <w:r>
        <w:rPr/>
        <w:t>Атабекян  Л. С., Кулемин Н. А, Авакян  В. Г., Чибисов А. К. "Молекулярная фотоника комплексов включения кукурбит[7]урилас иодидом 3,3’-диэтилтиазолинокарбоцианина." // Известия Академии наук. Серия химическая, - 2013-, № 4, С. 966-975.</w:t>
      </w:r>
    </w:p>
    <w:p>
      <w:pPr>
        <w:pStyle w:val="TextBody"/>
        <w:numPr>
          <w:ilvl w:val="0"/>
          <w:numId w:val="1"/>
        </w:numPr>
        <w:jc w:val="left"/>
        <w:rPr/>
      </w:pPr>
      <w:bookmarkStart w:id="6" w:name="OLE_LINK37"/>
      <w:bookmarkStart w:id="7" w:name="OLE_LINK36"/>
      <w:bookmarkStart w:id="8" w:name="OLE_LINK35"/>
      <w:r>
        <w:rPr/>
        <w:t>Назаров В. Б., Авакян В. Г., Фомина М. В., Ведерников А. И., Алфимов М. В., Громов С. П. «Спектральные свойства протонированного нафтилпиридина в присутствии циклодекстринов.» // Изв. РАН. – 2013. - № 10. - С. 2150-2157</w:t>
      </w:r>
      <w:bookmarkEnd w:id="6"/>
      <w:bookmarkEnd w:id="7"/>
      <w:bookmarkEnd w:id="8"/>
      <w:r>
        <w:rPr/>
        <w:t>.</w:t>
      </w:r>
    </w:p>
    <w:p>
      <w:pPr>
        <w:pStyle w:val="TextBody"/>
        <w:numPr>
          <w:ilvl w:val="0"/>
          <w:numId w:val="1"/>
        </w:numPr>
        <w:jc w:val="left"/>
        <w:rPr/>
      </w:pPr>
      <w:r>
        <w:rPr>
          <w:szCs w:val="24"/>
          <w:lang w:val="en-US"/>
        </w:rPr>
        <w:t xml:space="preserve">Atabekyan L. S., Vedernikov A. I., Avakyan V. G., Lobova N. A., Gromov S. P., Chibisov A. K. “Photoprocesses in styryl dyes and their pseudorotaxane complexes with cucurbit[7]uril” // </w:t>
      </w:r>
      <w:r>
        <w:rPr>
          <w:i/>
          <w:szCs w:val="24"/>
          <w:lang w:val="en-US"/>
        </w:rPr>
        <w:t>J. Photochem. Photobiol. A.</w:t>
      </w:r>
      <w:r>
        <w:rPr>
          <w:szCs w:val="24"/>
          <w:lang w:val="en-US"/>
        </w:rPr>
        <w:t xml:space="preserve"> - 2013. - V. 253. - P. 52–61.</w:t>
      </w:r>
    </w:p>
    <w:p>
      <w:pPr>
        <w:pStyle w:val="TextBody"/>
        <w:numPr>
          <w:ilvl w:val="0"/>
          <w:numId w:val="1"/>
        </w:numPr>
        <w:jc w:val="left"/>
        <w:rPr/>
      </w:pPr>
      <w:r>
        <w:rPr>
          <w:i/>
          <w:szCs w:val="24"/>
        </w:rPr>
        <w:t>Глава в монографии</w:t>
      </w:r>
      <w:r>
        <w:rPr>
          <w:szCs w:val="24"/>
        </w:rPr>
        <w:t xml:space="preserve">. </w:t>
      </w:r>
      <w:r>
        <w:rPr>
          <w:rFonts w:eastAsia="AdvP4DF60E;Arial Unicode MS"/>
          <w:color w:val="000000"/>
          <w:szCs w:val="24"/>
          <w:lang w:val="en-US"/>
        </w:rPr>
        <w:t>V</w:t>
      </w:r>
      <w:r>
        <w:rPr>
          <w:rFonts w:eastAsia="AdvP4DF60E;Arial Unicode MS"/>
          <w:color w:val="000000"/>
          <w:szCs w:val="24"/>
        </w:rPr>
        <w:t xml:space="preserve">. </w:t>
      </w:r>
      <w:r>
        <w:rPr>
          <w:rFonts w:eastAsia="AdvP4DF60E;Arial Unicode MS"/>
          <w:color w:val="000000"/>
          <w:szCs w:val="24"/>
          <w:lang w:val="en-US"/>
        </w:rPr>
        <w:t>G</w:t>
      </w:r>
      <w:r>
        <w:rPr>
          <w:rFonts w:eastAsia="AdvP4DF60E;Arial Unicode MS"/>
          <w:color w:val="000000"/>
          <w:szCs w:val="24"/>
        </w:rPr>
        <w:t xml:space="preserve">. </w:t>
      </w:r>
      <w:r>
        <w:rPr>
          <w:rFonts w:eastAsia="AdvP4DF60E;Arial Unicode MS"/>
          <w:color w:val="000000"/>
          <w:szCs w:val="24"/>
          <w:lang w:val="en-US"/>
        </w:rPr>
        <w:t>Avakyan</w:t>
      </w:r>
      <w:r>
        <w:rPr>
          <w:rFonts w:eastAsia="AdvP4DF60E;Arial Unicode MS"/>
          <w:color w:val="000000"/>
          <w:szCs w:val="24"/>
        </w:rPr>
        <w:t xml:space="preserve">, </w:t>
      </w:r>
      <w:r>
        <w:rPr>
          <w:rFonts w:eastAsia="AdvP4DF60E;Arial Unicode MS"/>
          <w:color w:val="000000"/>
          <w:szCs w:val="24"/>
          <w:lang w:val="en-US"/>
        </w:rPr>
        <w:t>V</w:t>
      </w:r>
      <w:r>
        <w:rPr>
          <w:rFonts w:eastAsia="AdvP4DF60E;Arial Unicode MS"/>
          <w:color w:val="000000"/>
          <w:szCs w:val="24"/>
        </w:rPr>
        <w:t xml:space="preserve">. </w:t>
      </w:r>
      <w:r>
        <w:rPr>
          <w:rFonts w:eastAsia="AdvP4DF60E;Arial Unicode MS"/>
          <w:color w:val="000000"/>
          <w:szCs w:val="24"/>
          <w:lang w:val="en-US"/>
        </w:rPr>
        <w:t>B</w:t>
      </w:r>
      <w:r>
        <w:rPr>
          <w:rFonts w:eastAsia="AdvP4DF60E;Arial Unicode MS"/>
          <w:color w:val="000000"/>
          <w:szCs w:val="24"/>
        </w:rPr>
        <w:t xml:space="preserve">. </w:t>
      </w:r>
      <w:r>
        <w:rPr>
          <w:rFonts w:eastAsia="AdvP4DF60E;Arial Unicode MS"/>
          <w:color w:val="000000"/>
          <w:szCs w:val="24"/>
          <w:lang w:val="en-US"/>
        </w:rPr>
        <w:t>Nazarov</w:t>
      </w:r>
      <w:r>
        <w:rPr>
          <w:rFonts w:eastAsia="AdvP4DF60E;Arial Unicode MS"/>
          <w:color w:val="000000"/>
          <w:szCs w:val="24"/>
        </w:rPr>
        <w:t xml:space="preserve">, </w:t>
      </w:r>
      <w:r>
        <w:rPr>
          <w:rFonts w:eastAsia="AdvP4DF60E;Arial Unicode MS"/>
          <w:color w:val="000000"/>
          <w:szCs w:val="24"/>
          <w:lang w:val="en-US"/>
        </w:rPr>
        <w:t>M</w:t>
      </w:r>
      <w:r>
        <w:rPr>
          <w:rFonts w:eastAsia="AdvP4DF60E;Arial Unicode MS"/>
          <w:color w:val="000000"/>
          <w:szCs w:val="24"/>
        </w:rPr>
        <w:t xml:space="preserve">. </w:t>
      </w:r>
      <w:r>
        <w:rPr>
          <w:rFonts w:eastAsia="AdvP4DF60E;Arial Unicode MS"/>
          <w:color w:val="000000"/>
          <w:szCs w:val="24"/>
          <w:lang w:val="en-US"/>
        </w:rPr>
        <w:t>V</w:t>
      </w:r>
      <w:r>
        <w:rPr>
          <w:rFonts w:eastAsia="AdvP4DF60E;Arial Unicode MS"/>
          <w:color w:val="000000"/>
          <w:szCs w:val="24"/>
        </w:rPr>
        <w:t xml:space="preserve">. </w:t>
      </w:r>
      <w:r>
        <w:rPr>
          <w:rFonts w:eastAsia="AdvP4DF60E;Arial Unicode MS"/>
          <w:color w:val="000000"/>
          <w:szCs w:val="24"/>
          <w:lang w:val="en-US"/>
        </w:rPr>
        <w:t>Alfimov</w:t>
      </w:r>
      <w:r>
        <w:rPr>
          <w:rFonts w:eastAsia="AdvP4DF60E;Arial Unicode MS"/>
          <w:color w:val="000000"/>
          <w:szCs w:val="24"/>
        </w:rPr>
        <w:t xml:space="preserve">. </w:t>
      </w:r>
      <w:r>
        <w:rPr>
          <w:rFonts w:eastAsia="AdvP4DF60E;Arial Unicode MS"/>
          <w:color w:val="000000"/>
          <w:szCs w:val="24"/>
          <w:lang w:val="en-US"/>
        </w:rPr>
        <w:t>«</w:t>
      </w:r>
      <w:r>
        <w:rPr>
          <w:szCs w:val="24"/>
          <w:lang w:val="en-US"/>
        </w:rPr>
        <w:t xml:space="preserve">Luminescence of naphthalene inserted into the self-assembled inclusion complexes with cyclodextrins. Structures and effect of adding third parties.» / Naphthalene: Structure, Properties and Applications., Eds. </w:t>
      </w:r>
      <w:r>
        <w:rPr>
          <w:color w:val="000000"/>
          <w:szCs w:val="24"/>
          <w:lang w:val="en-US"/>
        </w:rPr>
        <w:t>G. I. Antsyforov and A. F. Ivanski</w:t>
      </w:r>
      <w:r>
        <w:rPr>
          <w:szCs w:val="24"/>
          <w:lang w:val="en-US"/>
        </w:rPr>
        <w:t xml:space="preserve"> // </w:t>
      </w:r>
      <w:r>
        <w:rPr>
          <w:i/>
          <w:szCs w:val="24"/>
          <w:lang w:val="en-US"/>
        </w:rPr>
        <w:t>Novapublishers</w:t>
      </w:r>
      <w:r>
        <w:rPr>
          <w:szCs w:val="24"/>
          <w:lang w:val="en-US"/>
        </w:rPr>
        <w:t xml:space="preserve">, </w:t>
      </w:r>
      <w:r>
        <w:rPr>
          <w:i/>
          <w:szCs w:val="24"/>
          <w:lang w:val="en-US"/>
        </w:rPr>
        <w:t>N.-Y.</w:t>
      </w:r>
      <w:r>
        <w:rPr>
          <w:szCs w:val="24"/>
          <w:lang w:val="en-US"/>
        </w:rPr>
        <w:t xml:space="preserve"> - </w:t>
      </w:r>
      <w:r>
        <w:rPr>
          <w:color w:val="000000"/>
          <w:szCs w:val="24"/>
          <w:lang w:val="en-US"/>
        </w:rPr>
        <w:t>2012. - P. 127-152</w:t>
      </w:r>
      <w:r>
        <w:rPr>
          <w:szCs w:val="24"/>
          <w:lang w:val="en-US"/>
        </w:rPr>
        <w:t xml:space="preserve">. </w:t>
      </w:r>
    </w:p>
    <w:p>
      <w:pPr>
        <w:pStyle w:val="TextBody"/>
        <w:numPr>
          <w:ilvl w:val="0"/>
          <w:numId w:val="1"/>
        </w:numPr>
        <w:jc w:val="left"/>
        <w:rPr/>
      </w:pPr>
      <w:r>
        <w:rPr>
          <w:szCs w:val="24"/>
          <w:lang w:val="en-US"/>
        </w:rPr>
        <w:t>В. Б. Назаров, В. Г.</w:t>
      </w:r>
      <w:r>
        <w:rPr>
          <w:szCs w:val="24"/>
          <w:vertAlign w:val="superscript"/>
          <w:lang w:val="en-US"/>
        </w:rPr>
        <w:t xml:space="preserve"> </w:t>
      </w:r>
      <w:r>
        <w:rPr>
          <w:szCs w:val="24"/>
          <w:lang w:val="en-US"/>
        </w:rPr>
        <w:t xml:space="preserve">Авакян, Т. Г. Вершинникова, М. В. Алфимов, В. Ю. Рудяк. «Люминесцентные свойства и структура комплексов включения нафталин – </w:t>
      </w:r>
      <w:r>
        <w:rPr>
          <w:rFonts w:eastAsia="Symbol" w:cs="Symbol"/>
          <w:szCs w:val="24"/>
          <w:lang w:val="en-US"/>
        </w:rPr>
        <w:t xml:space="preserve">-циклодекстрин – адамантан и нафталин – -циклодекстрин – </w:t>
      </w:r>
      <w:r>
        <w:rPr>
          <w:rFonts w:eastAsia="Symbol" w:cs="Symbol"/>
          <w:i/>
          <w:szCs w:val="24"/>
          <w:lang w:val="en-US"/>
        </w:rPr>
        <w:t>о</w:t>
      </w:r>
      <w:r>
        <w:rPr>
          <w:rFonts w:eastAsia="Symbol" w:cs="Symbol"/>
          <w:szCs w:val="24"/>
          <w:lang w:val="en-US"/>
        </w:rPr>
        <w:t xml:space="preserve">-карборан.» // </w:t>
      </w:r>
      <w:r>
        <w:rPr>
          <w:rFonts w:eastAsia="Symbol" w:cs="Symbol"/>
          <w:i/>
          <w:szCs w:val="24"/>
          <w:lang w:val="en-US"/>
        </w:rPr>
        <w:t>Изв. АН, Сер. хим</w:t>
      </w:r>
      <w:r>
        <w:rPr>
          <w:rFonts w:eastAsia="Symbol" w:cs="Symbol"/>
          <w:szCs w:val="24"/>
          <w:lang w:val="en-US"/>
        </w:rPr>
        <w:t xml:space="preserve">. – 2012. - № 3. - С. 662. </w:t>
      </w:r>
    </w:p>
    <w:p>
      <w:pPr>
        <w:pStyle w:val="TextBody"/>
        <w:numPr>
          <w:ilvl w:val="0"/>
          <w:numId w:val="1"/>
        </w:numPr>
        <w:jc w:val="left"/>
        <w:rPr/>
      </w:pPr>
      <w:r>
        <w:rPr>
          <w:rFonts w:eastAsia="Times New Roman" w:cs="Symbol"/>
          <w:szCs w:val="24"/>
          <w:lang w:val="en-US" w:eastAsia="ru-RU"/>
        </w:rPr>
        <w:t xml:space="preserve">Avakyan V.G.; Bukalov S.S.; Aysin R.R.; Leites L.A. «Unstable 1,1,2,2-Tetramethyl-1,2-disilacyclobutane and Its Polymerization. Vibrational Spectroscopy and Quantum-Chemistry Study» // </w:t>
      </w:r>
      <w:r>
        <w:rPr>
          <w:rFonts w:eastAsia="Times New Roman" w:cs="Symbol"/>
          <w:i/>
          <w:szCs w:val="24"/>
          <w:lang w:val="en-US" w:eastAsia="ru-RU"/>
        </w:rPr>
        <w:t>ORGANOMETALLICS.</w:t>
      </w:r>
      <w:r>
        <w:rPr>
          <w:rFonts w:eastAsia="Times New Roman" w:cs="Symbol"/>
          <w:szCs w:val="24"/>
          <w:lang w:val="en-US" w:eastAsia="ru-RU"/>
        </w:rPr>
        <w:t xml:space="preserve"> - </w:t>
      </w:r>
      <w:r>
        <w:rPr>
          <w:rFonts w:eastAsia="Symbol" w:cs="Symbol"/>
          <w:szCs w:val="24"/>
          <w:lang w:val="en-US"/>
        </w:rPr>
        <w:t xml:space="preserve">2012. </w:t>
      </w:r>
      <w:r>
        <w:rPr>
          <w:rFonts w:eastAsia="Times New Roman" w:cs="Symbol"/>
          <w:szCs w:val="24"/>
          <w:lang w:val="en-US" w:eastAsia="ru-RU"/>
        </w:rPr>
        <w:t xml:space="preserve">- Vol. 31. – Iss. 20. – P. 7063-7073. </w:t>
      </w:r>
    </w:p>
    <w:p>
      <w:pPr>
        <w:pStyle w:val="TextBody"/>
        <w:numPr>
          <w:ilvl w:val="0"/>
          <w:numId w:val="1"/>
        </w:numPr>
        <w:jc w:val="left"/>
        <w:rPr/>
      </w:pPr>
      <w:r>
        <w:rPr>
          <w:szCs w:val="24"/>
        </w:rPr>
        <w:t xml:space="preserve">В.А. Лившиц, В.Б. Назаров, И.В. Ионова, В.Г. Авакян, Б.Г. Дзиковский, С.П. Громов, М. В. Алфимов. Супрамолекулярные комплексы спин-меченых и люминесцентных молекул с циклодекстринами. </w:t>
      </w:r>
      <w:r>
        <w:rPr>
          <w:i/>
          <w:iCs/>
          <w:szCs w:val="24"/>
        </w:rPr>
        <w:t>Российские нанотехнологии</w:t>
      </w:r>
      <w:r>
        <w:rPr>
          <w:szCs w:val="24"/>
        </w:rPr>
        <w:t>. – Т. 6 – выпуск 11-12. – С. 27-42.</w:t>
      </w:r>
    </w:p>
    <w:p>
      <w:pPr>
        <w:pStyle w:val="TextBody"/>
        <w:numPr>
          <w:ilvl w:val="0"/>
          <w:numId w:val="1"/>
        </w:numPr>
        <w:jc w:val="left"/>
        <w:rPr/>
      </w:pPr>
      <w:r>
        <w:rPr>
          <w:szCs w:val="24"/>
        </w:rPr>
        <w:t xml:space="preserve">Л. Атабекян, В. Г. Авакян, А. К. Чибисов, Первичные фотопроцессы 3’,3-диэтилкарбоцианина в присутствии кукурбит[7]урила: лазерный фотолиз и квантово-химический расчет. </w:t>
      </w:r>
      <w:r>
        <w:rPr>
          <w:i/>
          <w:szCs w:val="24"/>
        </w:rPr>
        <w:t>Химия высоких энергий</w:t>
      </w:r>
      <w:r>
        <w:rPr>
          <w:szCs w:val="24"/>
        </w:rPr>
        <w:t>, 2011, т.45 №2, с. 1-7.</w:t>
      </w:r>
    </w:p>
    <w:p>
      <w:pPr>
        <w:pStyle w:val="TextBody"/>
        <w:numPr>
          <w:ilvl w:val="0"/>
          <w:numId w:val="1"/>
        </w:numPr>
        <w:jc w:val="left"/>
        <w:rPr/>
      </w:pPr>
      <w:r>
        <w:rPr>
          <w:szCs w:val="24"/>
          <w:lang w:val="en-GB"/>
        </w:rPr>
        <w:t xml:space="preserve">Gromov S. P., Nazarov V. B., Avakyan V. G., Fomina M. V., Vedernikov A. I., Kuz’mina L. G., Vershinnikova T. G., Lobova N. A., Rudyak V. Yu., Alfimov M. V., Howard J. A. K. “Photoinduced protonation and mechanical motion in the cyclodextrin cavity: synthesis, structure and spectral properties of 4-(2-napthyl)pyridine and their pseudorotaxane complexes.” // </w:t>
      </w:r>
      <w:r>
        <w:rPr>
          <w:i/>
          <w:szCs w:val="24"/>
          <w:lang w:val="en-GB"/>
        </w:rPr>
        <w:t>J. Photochem. Photobiol., A</w:t>
      </w:r>
      <w:r>
        <w:rPr>
          <w:szCs w:val="24"/>
          <w:lang w:val="en-GB"/>
        </w:rPr>
        <w:t xml:space="preserve"> – 2011. – V. 217. – P. 87-99. </w:t>
      </w:r>
    </w:p>
    <w:p>
      <w:pPr>
        <w:pStyle w:val="TextBody"/>
        <w:numPr>
          <w:ilvl w:val="0"/>
          <w:numId w:val="1"/>
        </w:numPr>
        <w:jc w:val="left"/>
        <w:rPr/>
      </w:pPr>
      <w:r>
        <w:rPr>
          <w:rFonts w:eastAsia="AdvP4DF60E;Arial Unicode MS"/>
          <w:color w:val="000000"/>
          <w:szCs w:val="24"/>
          <w:lang w:val="en-US"/>
        </w:rPr>
        <w:t xml:space="preserve">V. B. Nazarov, V. G. Avakyan, V. Y. Rudyak, M. V. Alfimov,T. G. Vershinnikova, </w:t>
      </w:r>
      <w:r>
        <w:rPr>
          <w:rFonts w:eastAsia="AdvP4DF60E;Arial Unicode MS"/>
          <w:szCs w:val="24"/>
          <w:lang w:val="en-US"/>
        </w:rPr>
        <w:t xml:space="preserve">Luminescent properties and structure of multicomponent naphthalene-b-cyclodextrin complexes. 1. Effect of adding third parties, o-carborane or/and adamantane, </w:t>
      </w:r>
      <w:r>
        <w:rPr>
          <w:rFonts w:eastAsia="AdvP4DF60E;Arial Unicode MS"/>
          <w:i/>
          <w:szCs w:val="24"/>
          <w:lang w:val="en-US"/>
        </w:rPr>
        <w:t>J. of Luminescence</w:t>
      </w:r>
      <w:r>
        <w:rPr>
          <w:rFonts w:eastAsia="AdvP4DF60E;Arial Unicode MS"/>
          <w:szCs w:val="24"/>
          <w:lang w:val="en-US"/>
        </w:rPr>
        <w:t xml:space="preserve"> 131 (2011) 1932–1938.</w:t>
      </w:r>
    </w:p>
    <w:p>
      <w:pPr>
        <w:pStyle w:val="TextBody"/>
        <w:numPr>
          <w:ilvl w:val="0"/>
          <w:numId w:val="1"/>
        </w:numPr>
        <w:jc w:val="left"/>
        <w:rPr/>
      </w:pPr>
      <w:r>
        <w:rPr>
          <w:rFonts w:eastAsia="AdvP4DF60E;Arial Unicode MS" w:cs="AdvOT863180fb;Times New Roman"/>
          <w:color w:val="000000"/>
          <w:szCs w:val="24"/>
          <w:lang w:val="en-US"/>
        </w:rPr>
        <w:t>V. G. Avakyan, E. P. Doronina, S. L. Guselnikov</w:t>
      </w:r>
      <w:r>
        <w:rPr>
          <w:rFonts w:eastAsia="AdvP4DF60E;Arial Unicode MS" w:cs="AdvOT863180fb;Times New Roman"/>
          <w:color w:val="000066"/>
          <w:szCs w:val="24"/>
          <w:lang w:val="en-US"/>
        </w:rPr>
        <w:t>.</w:t>
      </w:r>
      <w:r>
        <w:rPr>
          <w:rFonts w:eastAsia="AdvP4DF60E;Arial Unicode MS" w:cs="AdvOT863180fb;Times New Roman"/>
          <w:color w:val="000000"/>
          <w:szCs w:val="24"/>
          <w:lang w:val="en-US"/>
        </w:rPr>
        <w:t>, V. F. Sidorkin</w:t>
      </w:r>
      <w:r>
        <w:rPr>
          <w:rFonts w:eastAsia="AdvP4DF60E;Arial Unicode MS"/>
          <w:color w:val="000000"/>
          <w:szCs w:val="24"/>
          <w:lang w:val="en-US"/>
        </w:rPr>
        <w:t xml:space="preserve">, </w:t>
      </w:r>
      <w:r>
        <w:rPr>
          <w:rFonts w:eastAsia="AdvP4DF60E;Arial Unicode MS"/>
          <w:szCs w:val="24"/>
          <w:lang w:val="en-US"/>
        </w:rPr>
        <w:t xml:space="preserve">Ditopic complexes of silene H2Si=CH2 with bidentate ligands Me2NCH2SiHnF3-n. Structures, formation energies, AIM and ELF analyses, </w:t>
      </w:r>
      <w:r>
        <w:rPr>
          <w:rFonts w:eastAsia="AdvP4DF60E;Arial Unicode MS"/>
          <w:i/>
          <w:szCs w:val="24"/>
          <w:lang w:val="en-US"/>
        </w:rPr>
        <w:t>J. of Organometallic Chemistry</w:t>
      </w:r>
      <w:r>
        <w:rPr>
          <w:rFonts w:eastAsia="AdvP4DF60E;Arial Unicode MS"/>
          <w:szCs w:val="24"/>
          <w:lang w:val="en-US"/>
        </w:rPr>
        <w:t xml:space="preserve"> 696 (2011) 1969-1974.</w:t>
      </w:r>
    </w:p>
    <w:p>
      <w:pPr>
        <w:pStyle w:val="TextBody"/>
        <w:numPr>
          <w:ilvl w:val="0"/>
          <w:numId w:val="1"/>
        </w:numPr>
        <w:jc w:val="left"/>
        <w:rPr/>
      </w:pPr>
      <w:r>
        <w:rPr>
          <w:szCs w:val="24"/>
        </w:rPr>
        <w:t xml:space="preserve">Назаров В. Б., Авакян В. Г., Громов С. П., Ведерников А. И., Фомина М. В., Вершинникова Т. Г., Гак В. Ю., Лобова Н. А., Рудяк В. Ю., Алфимов М. В. “Спектральные свойства, структура и фотоиндуцированное перемещение 4-(2-нафтил)пиридина в полостях циклодекстринов.” // </w:t>
      </w:r>
      <w:r>
        <w:rPr>
          <w:i/>
          <w:szCs w:val="24"/>
        </w:rPr>
        <w:t>Изв. АН</w:t>
      </w:r>
      <w:r>
        <w:rPr>
          <w:i/>
          <w:szCs w:val="24"/>
          <w:lang w:val="en-US"/>
        </w:rPr>
        <w:t xml:space="preserve">, </w:t>
      </w:r>
      <w:r>
        <w:rPr>
          <w:i/>
          <w:szCs w:val="24"/>
        </w:rPr>
        <w:t>Сер</w:t>
      </w:r>
      <w:r>
        <w:rPr>
          <w:i/>
          <w:szCs w:val="24"/>
          <w:lang w:val="en-US"/>
        </w:rPr>
        <w:t xml:space="preserve">. </w:t>
      </w:r>
      <w:r>
        <w:rPr>
          <w:i/>
          <w:szCs w:val="24"/>
        </w:rPr>
        <w:t>хим</w:t>
      </w:r>
      <w:r>
        <w:rPr>
          <w:szCs w:val="24"/>
          <w:lang w:val="en-US"/>
        </w:rPr>
        <w:t xml:space="preserve">. – 2010. - № 5. – </w:t>
      </w:r>
      <w:r>
        <w:rPr>
          <w:szCs w:val="24"/>
        </w:rPr>
        <w:t>С</w:t>
      </w:r>
      <w:r>
        <w:rPr>
          <w:szCs w:val="24"/>
          <w:lang w:val="en-US"/>
        </w:rPr>
        <w:t xml:space="preserve">. 919-931 </w:t>
      </w:r>
      <w:r>
        <w:rPr>
          <w:lang w:val="en-US"/>
        </w:rPr>
        <w:t>[</w:t>
      </w:r>
      <w:r>
        <w:rPr>
          <w:i/>
          <w:lang w:val="en-US"/>
        </w:rPr>
        <w:t>Russ. Chem. Bull.</w:t>
      </w:r>
      <w:r>
        <w:rPr>
          <w:lang w:val="en-US"/>
        </w:rPr>
        <w:t xml:space="preserve">, 2010, 59, </w:t>
      </w:r>
      <w:r>
        <w:rPr/>
        <w:t>ХХХ</w:t>
      </w:r>
      <w:r>
        <w:rPr>
          <w:lang w:val="en-US"/>
        </w:rPr>
        <w:t xml:space="preserve"> (Engl. Transl.)]</w:t>
      </w:r>
      <w:r>
        <w:rPr>
          <w:szCs w:val="24"/>
          <w:lang w:val="en-US"/>
        </w:rPr>
        <w:t xml:space="preserve">. </w:t>
      </w:r>
    </w:p>
    <w:p>
      <w:pPr>
        <w:pStyle w:val="TextBody"/>
        <w:numPr>
          <w:ilvl w:val="0"/>
          <w:numId w:val="1"/>
        </w:numPr>
        <w:spacing w:before="0" w:after="140"/>
        <w:jc w:val="left"/>
        <w:rPr/>
      </w:pPr>
      <w:r>
        <w:rPr>
          <w:szCs w:val="24"/>
          <w:lang w:val="en-US"/>
        </w:rPr>
        <w:t xml:space="preserve">Vitaly G. Avakyan, </w:t>
      </w:r>
      <w:r>
        <w:rPr>
          <w:szCs w:val="19"/>
          <w:lang w:val="en-US"/>
        </w:rPr>
        <w:t>Evgeniya P. Doronina,</w:t>
      </w:r>
      <w:r>
        <w:rPr>
          <w:szCs w:val="19"/>
          <w:vertAlign w:val="superscript"/>
          <w:lang w:val="en-US"/>
        </w:rPr>
        <w:t xml:space="preserve"> </w:t>
      </w:r>
      <w:r>
        <w:rPr>
          <w:szCs w:val="19"/>
          <w:lang w:val="en-US"/>
        </w:rPr>
        <w:t>Stephan L. Guselnikov,</w:t>
      </w:r>
      <w:r>
        <w:rPr>
          <w:szCs w:val="19"/>
          <w:vertAlign w:val="superscript"/>
          <w:lang w:val="en-US"/>
        </w:rPr>
        <w:t xml:space="preserve"> </w:t>
      </w:r>
      <w:r>
        <w:rPr>
          <w:szCs w:val="19"/>
          <w:lang w:val="en-US"/>
        </w:rPr>
        <w:t>Valery F. Sidorkin</w:t>
      </w:r>
      <w:r>
        <w:rPr>
          <w:szCs w:val="24"/>
          <w:lang w:val="en-US"/>
        </w:rPr>
        <w:t xml:space="preserve"> "Ditopic complexes of silene H2Si=CH2 with bidentate ligands Me2NCH2SiHnF3-n. Structures, formation  energies, AIM and ELF analyses." // </w:t>
      </w:r>
      <w:r>
        <w:rPr>
          <w:i/>
          <w:szCs w:val="24"/>
          <w:lang w:val="en-US"/>
        </w:rPr>
        <w:t>Journal of Organometallic Chemistry</w:t>
      </w:r>
      <w:r>
        <w:rPr>
          <w:szCs w:val="24"/>
          <w:lang w:val="en-US"/>
        </w:rPr>
        <w:t>, принято</w:t>
      </w:r>
      <w:r>
        <w:rPr>
          <w:szCs w:val="24"/>
          <w:lang w:val="en"/>
        </w:rPr>
        <w:t xml:space="preserve"> </w:t>
      </w:r>
      <w:r>
        <w:rPr>
          <w:szCs w:val="24"/>
          <w:lang w:val="en-US"/>
        </w:rPr>
        <w:t>к</w:t>
      </w:r>
      <w:r>
        <w:rPr>
          <w:szCs w:val="24"/>
          <w:lang w:val="en"/>
        </w:rPr>
        <w:t xml:space="preserve"> </w:t>
      </w:r>
      <w:r>
        <w:rPr>
          <w:szCs w:val="24"/>
          <w:lang w:val="en-US"/>
        </w:rPr>
        <w:t>публикации</w:t>
      </w:r>
      <w:r>
        <w:rPr>
          <w:szCs w:val="24"/>
          <w:lang w:val="en"/>
        </w:rPr>
        <w:t xml:space="preserve"> (JORGANCHEM-D-10-00214R1)</w:t>
      </w:r>
      <w:r>
        <w:rPr>
          <w:szCs w:val="24"/>
          <w:lang w:val="en-US"/>
        </w:rPr>
        <w:t>.</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R Cyr MT">
    <w:altName w:val="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kinsoku w:val="true"/>
      <w:overflowPunct w:val="true"/>
      <w:autoSpaceDE w:val="true"/>
      <w:bidi w:val="0"/>
      <w:jc w:val="left"/>
    </w:pPr>
    <w:rPr>
      <w:rFonts w:ascii="Liberation Serif" w:hAnsi="Liberation Serif" w:eastAsia="Noto Sans CJK SC Regular" w:cs="FreeSans"/>
      <w:color w:val="00000A"/>
      <w:sz w:val="24"/>
      <w:szCs w:val="24"/>
      <w:lang w:val="en-US" w:eastAsia="zh-CN" w:bidi="hi-IN"/>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ListLabel2">
    <w:name w:val="ListLabel 2"/>
    <w:qFormat/>
    <w:rPr>
      <w:b w:val="false"/>
      <w:i w:val="false"/>
      <w:sz w:val="24"/>
      <w:szCs w:val="24"/>
      <w:highlight w:val="yellow"/>
      <w:lang w:val="en-US"/>
    </w:rPr>
  </w:style>
  <w:style w:type="character" w:styleId="WW8Num2z0">
    <w:name w:val="WW8Num2z0"/>
    <w:qFormat/>
    <w:rPr>
      <w:rFonts w:ascii="Calibri" w:hAnsi="Calibri" w:eastAsia="Times New Roman" w:cs="Calibri"/>
      <w:bCs/>
      <w:iCs/>
      <w:szCs w:val="24"/>
      <w:highlight w:val="yellow"/>
      <w:lang w:val="en-US"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3">
    <w:name w:val="ListLabel 3"/>
    <w:qFormat/>
    <w:rPr>
      <w:b w:val="false"/>
      <w:i w:val="false"/>
      <w:sz w:val="24"/>
      <w:szCs w:val="24"/>
      <w:highlight w:val="yellow"/>
      <w:lang w:val="en-US"/>
    </w:rPr>
  </w:style>
  <w:style w:type="character" w:styleId="ListLabel4">
    <w:name w:val="ListLabel 4"/>
    <w:qFormat/>
    <w:rPr>
      <w:b w:val="false"/>
      <w:i w:val="false"/>
      <w:sz w:val="24"/>
      <w:szCs w:val="24"/>
      <w:highlight w:val="yellow"/>
      <w:lang w:val="en-US"/>
    </w:rPr>
  </w:style>
  <w:style w:type="character" w:styleId="WW8Num1z0">
    <w:name w:val="WW8Num1z0"/>
    <w:qFormat/>
    <w:rPr>
      <w:rFonts w:ascii="Times NR Cyr MT;Times New Roman" w:hAnsi="Times NR Cyr MT;Times New Roman" w:eastAsia="AdvP4DF60E;Arial Unicode MS" w:cs="Times NR Cyr MT;Times New Roman"/>
      <w:szCs w:val="24"/>
      <w:lang w:val="en-GB" w:eastAsia="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5">
    <w:name w:val="ListLabel 5"/>
    <w:qFormat/>
    <w:rPr>
      <w:b w:val="false"/>
      <w:i w:val="false"/>
      <w:sz w:val="24"/>
      <w:szCs w:val="24"/>
      <w:highlight w:val="yellow"/>
      <w:lang w:val="en-US"/>
    </w:rPr>
  </w:style>
  <w:style w:type="character" w:styleId="ListLabel6">
    <w:name w:val="ListLabel 6"/>
    <w:qFormat/>
    <w:rPr>
      <w:b w:val="false"/>
      <w:i w:val="false"/>
      <w:sz w:val="24"/>
      <w:szCs w:val="24"/>
      <w:highlight w:val="yellow"/>
      <w:lang w:val="en-US"/>
    </w:rPr>
  </w:style>
  <w:style w:type="character" w:styleId="ListLabel7">
    <w:name w:val="ListLabel 7"/>
    <w:qFormat/>
    <w:rPr>
      <w:b w:val="false"/>
      <w:i w:val="false"/>
      <w:sz w:val="24"/>
      <w:szCs w:val="24"/>
      <w:highlight w:val="yellow"/>
      <w:lang w:val="en-US"/>
    </w:rPr>
  </w:style>
  <w:style w:type="character" w:styleId="ListLabel8">
    <w:name w:val="ListLabel 8"/>
    <w:qFormat/>
    <w:rPr>
      <w:b w:val="false"/>
      <w:i w:val="false"/>
      <w:sz w:val="24"/>
      <w:szCs w:val="24"/>
      <w:highlight w:val="yellow"/>
      <w:lang w:val="en-US"/>
    </w:rPr>
  </w:style>
  <w:style w:type="character" w:styleId="WW8Num4z0">
    <w:name w:val="WW8Num4z0"/>
    <w:qFormat/>
    <w:rPr>
      <w:rFonts w:eastAsia="Times New Roman" w:cs="Symbol"/>
      <w:iCs/>
      <w:szCs w:val="24"/>
      <w:lang w:val="en-US" w:eastAsia="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9">
    <w:name w:val="ListLabel 9"/>
    <w:qFormat/>
    <w:rPr>
      <w:b w:val="false"/>
      <w:i w:val="false"/>
      <w:sz w:val="24"/>
      <w:szCs w:val="24"/>
      <w:highlight w:val="yellow"/>
      <w:lang w:val="en-US"/>
    </w:rPr>
  </w:style>
  <w:style w:type="character" w:styleId="ListLabel10">
    <w:name w:val="ListLabel 10"/>
    <w:qFormat/>
    <w:rPr>
      <w:rFonts w:eastAsia="Times New Roman" w:cs="Symbol"/>
      <w:iCs/>
      <w:szCs w:val="24"/>
      <w:lang w:val="en-US" w:eastAsia="ru-RU"/>
    </w:rPr>
  </w:style>
  <w:style w:type="character" w:styleId="ListLabel11">
    <w:name w:val="ListLabel 11"/>
    <w:qFormat/>
    <w:rPr>
      <w:b w:val="false"/>
      <w:i w:val="false"/>
      <w:sz w:val="24"/>
      <w:szCs w:val="24"/>
      <w:highlight w:val="yellow"/>
      <w:lang w:val="en-US"/>
    </w:rPr>
  </w:style>
  <w:style w:type="character" w:styleId="ListLabel12">
    <w:name w:val="ListLabel 12"/>
    <w:qFormat/>
    <w:rPr>
      <w:rFonts w:eastAsia="Times New Roman" w:cs="Symbol"/>
      <w:iCs/>
      <w:szCs w:val="24"/>
      <w:lang w:val="en-US" w:eastAsia="ru-RU"/>
    </w:rPr>
  </w:style>
  <w:style w:type="character" w:styleId="ListLabel13">
    <w:name w:val="ListLabel 13"/>
    <w:qFormat/>
    <w:rPr>
      <w:b w:val="false"/>
      <w:i w:val="false"/>
      <w:sz w:val="24"/>
      <w:szCs w:val="24"/>
      <w:highlight w:val="yellow"/>
      <w:lang w:val="en-US"/>
    </w:rPr>
  </w:style>
  <w:style w:type="character" w:styleId="ListLabel14">
    <w:name w:val="ListLabel 14"/>
    <w:qFormat/>
    <w:rPr>
      <w:rFonts w:eastAsia="Times New Roman" w:cs="Symbol"/>
      <w:iCs/>
      <w:szCs w:val="24"/>
      <w:lang w:val="en-US" w:eastAsia="ru-RU"/>
    </w:rPr>
  </w:style>
  <w:style w:type="character" w:styleId="ListLabel15">
    <w:name w:val="ListLabel 15"/>
    <w:qFormat/>
    <w:rPr>
      <w:b w:val="false"/>
      <w:i w:val="false"/>
      <w:sz w:val="24"/>
      <w:szCs w:val="24"/>
      <w:highlight w:val="yellow"/>
      <w:lang w:val="en-US"/>
    </w:rPr>
  </w:style>
  <w:style w:type="character" w:styleId="ListLabel16">
    <w:name w:val="ListLabel 16"/>
    <w:qFormat/>
    <w:rPr>
      <w:rFonts w:eastAsia="Times New Roman" w:cs="Symbol"/>
      <w:iCs/>
      <w:szCs w:val="24"/>
      <w:lang w:val="en-US" w:eastAsia="ru-RU"/>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17">
    <w:name w:val="ListLabel 17"/>
    <w:qFormat/>
    <w:rPr>
      <w:b w:val="false"/>
      <w:i w:val="false"/>
      <w:sz w:val="24"/>
      <w:szCs w:val="24"/>
      <w:highlight w:val="yellow"/>
      <w:lang w:val="en-US"/>
    </w:rPr>
  </w:style>
  <w:style w:type="character" w:styleId="ListLabel18">
    <w:name w:val="ListLabel 18"/>
    <w:qFormat/>
    <w:rPr>
      <w:rFonts w:eastAsia="Times New Roman" w:cs="Symbol"/>
      <w:iCs/>
      <w:szCs w:val="24"/>
      <w:lang w:val="en-US" w:eastAsia="ru-RU"/>
    </w:rPr>
  </w:style>
  <w:style w:type="character" w:styleId="ListLabel19">
    <w:name w:val="ListLabel 19"/>
    <w:qFormat/>
    <w:rPr>
      <w:rFonts w:eastAsia="MS Mincho;ＭＳ 明朝"/>
      <w:lang w:val="en-US" w:eastAsia="ja-JP"/>
    </w:rPr>
  </w:style>
  <w:style w:type="character" w:styleId="ListLabel20">
    <w:name w:val="ListLabel 20"/>
    <w:qFormat/>
    <w:rPr>
      <w:b w:val="false"/>
      <w:i w:val="false"/>
      <w:sz w:val="24"/>
      <w:szCs w:val="24"/>
      <w:highlight w:val="yellow"/>
      <w:lang w:val="en-US"/>
    </w:rPr>
  </w:style>
  <w:style w:type="character" w:styleId="ListLabel21">
    <w:name w:val="ListLabel 21"/>
    <w:qFormat/>
    <w:rPr>
      <w:rFonts w:eastAsia="Times New Roman" w:cs="Symbol"/>
      <w:iCs/>
      <w:szCs w:val="24"/>
      <w:lang w:val="en-US" w:eastAsia="ru-RU"/>
    </w:rPr>
  </w:style>
  <w:style w:type="character" w:styleId="ListLabel22">
    <w:name w:val="ListLabel 22"/>
    <w:qFormat/>
    <w:rPr>
      <w:rFonts w:eastAsia="MS Mincho;ＭＳ 明朝"/>
      <w:lang w:val="en-US" w:eastAsia="ja-JP"/>
    </w:rPr>
  </w:style>
  <w:style w:type="character" w:styleId="ListLabel23">
    <w:name w:val="ListLabel 23"/>
    <w:qFormat/>
    <w:rPr>
      <w:b w:val="false"/>
      <w:i w:val="false"/>
      <w:sz w:val="24"/>
      <w:szCs w:val="24"/>
      <w:highlight w:val="yellow"/>
      <w:lang w:val="en-US"/>
    </w:rPr>
  </w:style>
  <w:style w:type="character" w:styleId="ListLabel24">
    <w:name w:val="ListLabel 24"/>
    <w:qFormat/>
    <w:rPr>
      <w:rFonts w:eastAsia="Times New Roman" w:cs="Symbol"/>
      <w:iCs/>
      <w:szCs w:val="24"/>
      <w:lang w:val="en-US" w:eastAsia="ru-RU"/>
    </w:rPr>
  </w:style>
  <w:style w:type="character" w:styleId="ListLabel25">
    <w:name w:val="ListLabel 25"/>
    <w:qFormat/>
    <w:rPr>
      <w:rFonts w:eastAsia="MS Mincho;ＭＳ 明朝"/>
      <w:lang w:val="en-US" w:eastAsia="ja-JP"/>
    </w:rPr>
  </w:style>
  <w:style w:type="character" w:styleId="ListLabel26">
    <w:name w:val="ListLabel 26"/>
    <w:qFormat/>
    <w:rPr>
      <w:b w:val="false"/>
      <w:i w:val="false"/>
      <w:sz w:val="24"/>
      <w:szCs w:val="24"/>
      <w:highlight w:val="yellow"/>
      <w:lang w:val="en-US"/>
    </w:rPr>
  </w:style>
  <w:style w:type="character" w:styleId="ListLabel27">
    <w:name w:val="ListLabel 27"/>
    <w:qFormat/>
    <w:rPr>
      <w:rFonts w:eastAsia="Times New Roman" w:cs="Symbol"/>
      <w:iCs/>
      <w:szCs w:val="24"/>
      <w:lang w:val="en-US" w:eastAsia="ru-RU"/>
    </w:rPr>
  </w:style>
  <w:style w:type="character" w:styleId="ListLabel28">
    <w:name w:val="ListLabel 28"/>
    <w:qFormat/>
    <w:rPr>
      <w:rFonts w:eastAsia="MS Mincho;ＭＳ 明朝"/>
      <w:lang w:val="en-US" w:eastAsia="ja-JP"/>
    </w:rPr>
  </w:style>
  <w:style w:type="character" w:styleId="ListLabel29">
    <w:name w:val="ListLabel 29"/>
    <w:qFormat/>
    <w:rPr>
      <w:b w:val="false"/>
      <w:i w:val="false"/>
      <w:sz w:val="24"/>
      <w:szCs w:val="24"/>
      <w:highlight w:val="yellow"/>
      <w:lang w:val="en-US"/>
    </w:rPr>
  </w:style>
  <w:style w:type="character" w:styleId="ListLabel30">
    <w:name w:val="ListLabel 30"/>
    <w:qFormat/>
    <w:rPr>
      <w:rFonts w:eastAsia="Times New Roman" w:cs="Symbol"/>
      <w:iCs/>
      <w:szCs w:val="24"/>
      <w:lang w:val="en-US" w:eastAsia="ru-RU"/>
    </w:rPr>
  </w:style>
  <w:style w:type="character" w:styleId="ListLabel31">
    <w:name w:val="ListLabel 31"/>
    <w:qFormat/>
    <w:rPr>
      <w:rFonts w:eastAsia="MS Mincho;ＭＳ 明朝"/>
      <w:lang w:val="en-US" w:eastAsia="ja-JP"/>
    </w:rPr>
  </w:style>
  <w:style w:type="character" w:styleId="ListLabel32">
    <w:name w:val="ListLabel 32"/>
    <w:qFormat/>
    <w:rPr>
      <w:b w:val="false"/>
      <w:i w:val="false"/>
      <w:sz w:val="24"/>
      <w:szCs w:val="24"/>
      <w:highlight w:val="yellow"/>
      <w:lang w:val="en-US"/>
    </w:rPr>
  </w:style>
  <w:style w:type="character" w:styleId="ListLabel33">
    <w:name w:val="ListLabel 33"/>
    <w:qFormat/>
    <w:rPr>
      <w:rFonts w:eastAsia="Times New Roman" w:cs="Symbol"/>
      <w:iCs/>
      <w:szCs w:val="24"/>
      <w:lang w:val="en-US" w:eastAsia="ru-RU"/>
    </w:rPr>
  </w:style>
  <w:style w:type="character" w:styleId="ListLabel34">
    <w:name w:val="ListLabel 34"/>
    <w:qFormat/>
    <w:rPr>
      <w:rFonts w:eastAsia="MS Mincho;ＭＳ 明朝"/>
      <w:lang w:val="en-US" w:eastAsia="ja-JP"/>
    </w:rPr>
  </w:style>
  <w:style w:type="character" w:styleId="DefaultParagraphFont">
    <w:name w:val="Default Paragraph Font"/>
    <w:qFormat/>
    <w:rPr/>
  </w:style>
  <w:style w:type="character" w:styleId="Emphasis">
    <w:name w:val="Emphasis"/>
    <w:basedOn w:val="DefaultParagraphFont"/>
    <w:qFormat/>
    <w:rPr>
      <w:i/>
      <w:iCs/>
    </w:rPr>
  </w:style>
  <w:style w:type="character" w:styleId="ListLabel35">
    <w:name w:val="ListLabel 35"/>
    <w:qFormat/>
    <w:rPr>
      <w:b w:val="false"/>
      <w:i w:val="false"/>
      <w:sz w:val="24"/>
      <w:szCs w:val="24"/>
      <w:highlight w:val="yellow"/>
      <w:lang w:val="en-US"/>
    </w:rPr>
  </w:style>
  <w:style w:type="character" w:styleId="ListLabel36">
    <w:name w:val="ListLabel 36"/>
    <w:qFormat/>
    <w:rPr>
      <w:rFonts w:eastAsia="Times New Roman" w:cs="Symbol"/>
      <w:iCs/>
      <w:szCs w:val="24"/>
      <w:lang w:val="en-US" w:eastAsia="ru-RU"/>
    </w:rPr>
  </w:style>
  <w:style w:type="character" w:styleId="ListLabel37">
    <w:name w:val="ListLabel 37"/>
    <w:qFormat/>
    <w:rPr>
      <w:rFonts w:eastAsia="MS Mincho;ＭＳ 明朝"/>
      <w:lang w:val="en-US" w:eastAsia="ja-JP"/>
    </w:rPr>
  </w:style>
  <w:style w:type="character" w:styleId="ListLabel38">
    <w:name w:val="ListLabel 38"/>
    <w:qFormat/>
    <w:rPr>
      <w:b w:val="false"/>
      <w:i w:val="false"/>
      <w:sz w:val="24"/>
      <w:szCs w:val="24"/>
      <w:highlight w:val="yellow"/>
      <w:lang w:val="en-US"/>
    </w:rPr>
  </w:style>
  <w:style w:type="character" w:styleId="ListLabel39">
    <w:name w:val="ListLabel 39"/>
    <w:qFormat/>
    <w:rPr>
      <w:rFonts w:eastAsia="Times New Roman" w:cs="Symbol"/>
      <w:iCs/>
      <w:szCs w:val="24"/>
      <w:lang w:val="en-US" w:eastAsia="ru-RU"/>
    </w:rPr>
  </w:style>
  <w:style w:type="character" w:styleId="ListLabel40">
    <w:name w:val="ListLabel 40"/>
    <w:qFormat/>
    <w:rPr>
      <w:rFonts w:eastAsia="MS Mincho;ＭＳ 明朝"/>
      <w:lang w:val="en-US" w:eastAsia="ja-JP"/>
    </w:rPr>
  </w:style>
  <w:style w:type="character" w:styleId="ListLabel41">
    <w:name w:val="ListLabel 41"/>
    <w:qFormat/>
    <w:rPr>
      <w:b w:val="false"/>
      <w:i w:val="false"/>
      <w:sz w:val="24"/>
      <w:szCs w:val="24"/>
      <w:highlight w:val="yellow"/>
      <w:lang w:val="en-US"/>
    </w:rPr>
  </w:style>
  <w:style w:type="character" w:styleId="ListLabel42">
    <w:name w:val="ListLabel 42"/>
    <w:qFormat/>
    <w:rPr>
      <w:rFonts w:eastAsia="Times New Roman" w:cs="Symbol"/>
      <w:iCs/>
      <w:szCs w:val="24"/>
      <w:lang w:val="en-US" w:eastAsia="ru-RU"/>
    </w:rPr>
  </w:style>
  <w:style w:type="character" w:styleId="ListLabel43">
    <w:name w:val="ListLabel 43"/>
    <w:qFormat/>
    <w:rPr>
      <w:rFonts w:eastAsia="MS Mincho;ＭＳ 明朝"/>
      <w:lang w:val="en-US" w:eastAsia="ja-JP"/>
    </w:rPr>
  </w:style>
  <w:style w:type="character" w:styleId="ListLabel44">
    <w:name w:val="ListLabel 44"/>
    <w:qFormat/>
    <w:rPr>
      <w:b w:val="false"/>
      <w:i w:val="false"/>
      <w:sz w:val="24"/>
      <w:szCs w:val="24"/>
      <w:highlight w:val="yellow"/>
      <w:lang w:val="en-US"/>
    </w:rPr>
  </w:style>
  <w:style w:type="character" w:styleId="ListLabel45">
    <w:name w:val="ListLabel 45"/>
    <w:qFormat/>
    <w:rPr>
      <w:rFonts w:eastAsia="Times New Roman" w:cs="Symbol"/>
      <w:iCs/>
      <w:szCs w:val="24"/>
      <w:lang w:val="en-US" w:eastAsia="ru-RU"/>
    </w:rPr>
  </w:style>
  <w:style w:type="character" w:styleId="ListLabel46">
    <w:name w:val="ListLabel 46"/>
    <w:qFormat/>
    <w:rPr>
      <w:rFonts w:eastAsia="MS Mincho;ＭＳ 明朝"/>
      <w:lang w:val="en-US" w:eastAsia="ja-JP"/>
    </w:rPr>
  </w:style>
  <w:style w:type="character" w:styleId="ListLabel47">
    <w:name w:val="ListLabel 47"/>
    <w:qFormat/>
    <w:rPr>
      <w:b w:val="false"/>
      <w:i w:val="false"/>
      <w:sz w:val="24"/>
      <w:szCs w:val="24"/>
      <w:highlight w:val="yellow"/>
      <w:lang w:val="en-US"/>
    </w:rPr>
  </w:style>
  <w:style w:type="character" w:styleId="ListLabel48">
    <w:name w:val="ListLabel 48"/>
    <w:qFormat/>
    <w:rPr>
      <w:rFonts w:eastAsia="Times New Roman" w:cs="Symbol"/>
      <w:iCs/>
      <w:szCs w:val="24"/>
      <w:lang w:val="en-US" w:eastAsia="ru-RU"/>
    </w:rPr>
  </w:style>
  <w:style w:type="character" w:styleId="ListLabel49">
    <w:name w:val="ListLabel 49"/>
    <w:qFormat/>
    <w:rPr>
      <w:rFonts w:eastAsia="MS Mincho;ＭＳ 明朝"/>
      <w:lang w:val="en-US" w:eastAsia="ja-JP"/>
    </w:rPr>
  </w:style>
  <w:style w:type="character" w:styleId="ListLabel50">
    <w:name w:val="ListLabel 50"/>
    <w:qFormat/>
    <w:rPr>
      <w:b w:val="false"/>
      <w:i w:val="false"/>
      <w:sz w:val="24"/>
      <w:szCs w:val="24"/>
      <w:highlight w:val="yellow"/>
      <w:lang w:val="en-US"/>
    </w:rPr>
  </w:style>
  <w:style w:type="character" w:styleId="ListLabel51">
    <w:name w:val="ListLabel 51"/>
    <w:qFormat/>
    <w:rPr>
      <w:rFonts w:eastAsia="Times New Roman" w:cs="Symbol"/>
      <w:iCs/>
      <w:szCs w:val="24"/>
      <w:lang w:val="en-US" w:eastAsia="ru-RU"/>
    </w:rPr>
  </w:style>
  <w:style w:type="character" w:styleId="ListLabel52">
    <w:name w:val="ListLabel 52"/>
    <w:qFormat/>
    <w:rPr>
      <w:rFonts w:eastAsia="MS Mincho;ＭＳ 明朝"/>
      <w:lang w:val="en-US" w:eastAsia="ja-JP"/>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4">
    <w:name w:val="Абзац списка"/>
    <w:basedOn w:val="Normal"/>
    <w:qFormat/>
    <w:pPr>
      <w:spacing w:before="0" w:after="200"/>
      <w:ind w:left="720" w:right="0" w:hanging="0"/>
      <w:contextualSpacing/>
    </w:pPr>
    <w:rPr/>
  </w:style>
  <w:style w:type="numbering" w:styleId="WW8Num30">
    <w:name w:val="WW8Num30"/>
    <w:qFormat/>
  </w:style>
  <w:style w:type="numbering" w:styleId="WW8Num2">
    <w:name w:val="WW8Num2"/>
    <w:qFormat/>
  </w:style>
  <w:style w:type="numbering" w:styleId="WW8Num1">
    <w:name w:val="WW8Num1"/>
    <w:qFormat/>
  </w:style>
  <w:style w:type="numbering" w:styleId="WW8Num4">
    <w:name w:val="WW8Num4"/>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LibreOffice/5.1.4.2$Linux_X86_64 LibreOffice_project/10m0$Build-2</Application>
  <Pages>3</Pages>
  <Words>1031</Words>
  <Characters>6023</Characters>
  <CharactersWithSpaces>7047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2017-05-02T13:20:32Z</dcterms:created>
  <dc:creator/>
  <dc:description/>
  <dc:language>en-US</dc:language>
  <cp:lastModifiedBy/>
  <dcterms:modified xsi:type="dcterms:W3CDTF">2017-05-17T15:35:06Z</dcterms:modified>
  <cp:revision>26</cp:revision>
  <dc:subject/>
  <dc:title/>
</cp:coreProperties>
</file>