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val="en-US" w:eastAsia="ru-RU"/>
        </w:rPr>
        <w:t xml:space="preserve">Nitrogen-Containing Analog of Dibenzoylmethanate of Boron Difluoride: Luminescence, Structure, Quantum Chemical Modeling, and Delay Fluorescence / E.V. Fedorenko, G.O. </w:t>
      </w:r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val="en-US" w:eastAsia="ru-RU"/>
        </w:rPr>
        <w:t xml:space="preserve">retyakova, A.G. Mirochnik, A.Yu. Beloliptsev, I.V. Svistunova, V.A. Sazhnikov, L.S. Atabekyan // </w:t>
      </w:r>
      <w:hyperlink r:id="rId2">
        <w:r>
          <w:rPr>
            <w:rStyle w:val="InternetLink"/>
            <w:rFonts w:eastAsia="Times New Roman" w:cs="Times New Roman" w:ascii="Times New Roman" w:hAnsi="Times New Roman"/>
            <w:bCs/>
            <w:spacing w:val="1"/>
            <w:sz w:val="24"/>
            <w:szCs w:val="24"/>
            <w:lang w:val="en-US" w:eastAsia="ru-RU"/>
          </w:rPr>
          <w:t>J. Fluorescence</w:t>
        </w:r>
      </w:hyperlink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val="en-US" w:eastAsia="ru-RU"/>
        </w:rPr>
        <w:t xml:space="preserve"> – 2016. </w:t>
      </w:r>
      <w:bookmarkStart w:id="0" w:name="OLE_LINK183"/>
      <w:bookmarkStart w:id="1" w:name="OLE_LINK184"/>
      <w:bookmarkStart w:id="2" w:name="OLE_LINK185"/>
      <w:bookmarkStart w:id="3" w:name="OLE_LINK186"/>
      <w:bookmarkStart w:id="4" w:name="OLE_LINK187"/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val="en-US" w:eastAsia="ru-RU"/>
        </w:rPr>
        <w:t>–</w:t>
      </w:r>
      <w:bookmarkEnd w:id="0"/>
      <w:bookmarkEnd w:id="1"/>
      <w:bookmarkEnd w:id="2"/>
      <w:bookmarkEnd w:id="3"/>
      <w:bookmarkEnd w:id="4"/>
      <w:r>
        <w:rPr>
          <w:rFonts w:eastAsia="Times New Roman" w:cs="Times New Roman" w:ascii="Times New Roman" w:hAnsi="Times New Roman"/>
          <w:bCs/>
          <w:spacing w:val="1"/>
          <w:sz w:val="24"/>
          <w:szCs w:val="24"/>
          <w:lang w:val="en-US" w:eastAsia="ru-RU"/>
        </w:rPr>
        <w:t xml:space="preserve"> V. 26. – Issue 5. – P. 1839–1847.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rFonts w:eastAsia="Calibri" w:cs="Times New Roman"/>
        </w:rPr>
        <w:t xml:space="preserve">Атабекян Л. С., Лобова Н. А., Ведерников А. И., Громов С. П., Чибисов А. К. “Фотоника </w:t>
      </w:r>
      <w:r>
        <w:rPr>
          <w:rFonts w:eastAsia="Calibri" w:cs="Times New Roman"/>
          <w:i/>
          <w:iCs/>
        </w:rPr>
        <w:t>N</w:t>
      </w:r>
      <w:r>
        <w:rPr>
          <w:rFonts w:eastAsia="Calibri" w:cs="Times New Roman"/>
        </w:rPr>
        <w:t xml:space="preserve">-аммонийалкильных производных азакраунсодержащих стириловых красителей.” // </w:t>
      </w:r>
      <w:r>
        <w:rPr>
          <w:rFonts w:eastAsia="Calibri" w:cs="Times New Roman"/>
          <w:i/>
        </w:rPr>
        <w:t>Химия высоких энергий</w:t>
      </w:r>
      <w:r>
        <w:rPr>
          <w:rFonts w:eastAsia="Calibri" w:cs="Times New Roman"/>
        </w:rPr>
        <w:t xml:space="preserve"> – 2015. – Т. 49. - № 4. – С. 276-282 [</w:t>
      </w:r>
      <w:bookmarkStart w:id="5" w:name="OLE_LINK3"/>
      <w:r>
        <w:rPr>
          <w:rFonts w:eastAsia="Calibri" w:cs="Times New Roman"/>
          <w:i/>
        </w:rPr>
        <w:t>High Energy Chemistry</w:t>
      </w:r>
      <w:bookmarkEnd w:id="5"/>
      <w:r>
        <w:rPr>
          <w:rFonts w:eastAsia="Calibri" w:cs="Times New Roman"/>
        </w:rPr>
        <w:t xml:space="preserve">, 2015, 49, 4, </w:t>
      </w:r>
      <w:bookmarkStart w:id="6" w:name="OLE_LINK4"/>
      <w:r>
        <w:rPr>
          <w:rFonts w:eastAsia="Calibri" w:cs="Times New Roman"/>
        </w:rPr>
        <w:t>243</w:t>
      </w:r>
      <w:bookmarkEnd w:id="6"/>
      <w:r>
        <w:rPr>
          <w:rFonts w:eastAsia="Calibri" w:cs="Times New Roman"/>
        </w:rPr>
        <w:t>-</w:t>
      </w:r>
      <w:bookmarkStart w:id="7" w:name="OLE_LINK5"/>
      <w:r>
        <w:rPr>
          <w:rFonts w:eastAsia="Calibri" w:cs="Times New Roman"/>
        </w:rPr>
        <w:t>248</w:t>
      </w:r>
      <w:bookmarkEnd w:id="7"/>
      <w:r>
        <w:rPr>
          <w:rFonts w:eastAsia="Calibri" w:cs="Times New Roman"/>
        </w:rPr>
        <w:t xml:space="preserve">]; </w:t>
      </w:r>
      <w:r>
        <w:rPr>
          <w:rFonts w:eastAsia="Calibri" w:cs="Times New Roman"/>
          <w:lang w:val="en-GB"/>
        </w:rPr>
        <w:t>DOI</w:t>
      </w:r>
      <w:r>
        <w:rPr>
          <w:rFonts w:eastAsia="Calibri" w:cs="Times New Roman"/>
        </w:rPr>
        <w:t>: 10.1134/S0018143915040037.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/>
          <w:bCs/>
          <w:szCs w:val="24"/>
          <w:lang w:eastAsia="ru-RU"/>
        </w:rPr>
        <w:t>Атабекян  Л. С., Кулемин Н. А, Авакян  В. Г., Чибисов А. К. "Молекулярная фотоника комплексов включения кукурбит[7]урилас иодидом 3,3’-диэтилтиазолинокарбоцианина." // Известия Академии наук. Серия химическая, - 2013-, № 4, С. 966-975.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eastAsia="Times New Roman"/>
          <w:bCs/>
          <w:szCs w:val="24"/>
          <w:lang w:val="en-US" w:eastAsia="ru-RU"/>
        </w:rPr>
        <w:t xml:space="preserve">Atabekyan L. S., Vedernikov A. I., Avakyan V. G., Lobova N. A., Gromov S. P., Chibisov A. K. “Photoprocesses in styryl dyes and their pseudorotaxane complexes with cucurbit[7]uril” // </w:t>
      </w:r>
      <w:r>
        <w:rPr>
          <w:rFonts w:eastAsia="Times New Roman"/>
          <w:b/>
          <w:bCs/>
          <w:i/>
          <w:szCs w:val="24"/>
          <w:lang w:val="en-US" w:eastAsia="ru-RU"/>
        </w:rPr>
        <w:t>J. Photochem. Photobiol. A.</w:t>
      </w:r>
      <w:r>
        <w:rPr>
          <w:rFonts w:eastAsia="Times New Roman"/>
          <w:bCs/>
          <w:szCs w:val="24"/>
          <w:lang w:val="en-US" w:eastAsia="ru-RU"/>
        </w:rPr>
        <w:t xml:space="preserve"> - 2013. - V. 253. - P. 52–61.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Symbol"/>
          <w:bCs/>
          <w:szCs w:val="24"/>
          <w:lang w:eastAsia="ru-RU"/>
        </w:rPr>
        <w:t xml:space="preserve">Л. С. Атабекян, Н. А. Лобова, А. И. Ведерников, С. П. Громов, А. К. Чибисов «Фотоника азакраунсодержащего стирилового красителя и его комплексов с ионами металлов. Сообщение 1. Триплетные состояния» // </w:t>
      </w:r>
      <w:r>
        <w:rPr>
          <w:rFonts w:eastAsia="Times New Roman" w:cs="Symbol"/>
          <w:bCs/>
          <w:i/>
          <w:szCs w:val="24"/>
          <w:lang w:eastAsia="ru-RU"/>
        </w:rPr>
        <w:t>Химия высоких энергий.</w:t>
      </w:r>
      <w:r>
        <w:rPr>
          <w:rFonts w:eastAsia="Times New Roman" w:cs="Symbol"/>
          <w:bCs/>
          <w:szCs w:val="24"/>
          <w:lang w:eastAsia="ru-RU"/>
        </w:rPr>
        <w:t xml:space="preserve"> – 2012. – Т. 46. - № 2. - С. 142–147.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Cs/>
        </w:rPr>
        <w:t>Л. С. Атабекян, В. А. Барачевский, С. А. Мелкозеров, Г. Н. Липунова,И. Г. Первова, И. Н. Липунов, Г. И. Сигейкин</w:t>
      </w:r>
      <w:r>
        <w:rPr>
          <w:i/>
          <w:iCs/>
        </w:rPr>
        <w:t xml:space="preserve">. </w:t>
      </w:r>
      <w:r>
        <w:rPr>
          <w:iCs/>
        </w:rPr>
        <w:t xml:space="preserve">Исследование фотопревращений 1-арил-3- метил-5-(бензотиазол-2-ил) формазанов методом дазерного фотолиза. </w:t>
      </w:r>
      <w:r>
        <w:rPr>
          <w:i/>
          <w:iCs/>
        </w:rPr>
        <w:t>Химия высоких энергий</w:t>
      </w:r>
      <w:r>
        <w:rPr>
          <w:iCs/>
        </w:rPr>
        <w:t>, т. 45, № 1, с. 55–59, 2011.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iCs/>
          <w:szCs w:val="24"/>
        </w:rPr>
        <w:t xml:space="preserve">Л. Атабекян, В. Г. Авакян, А. К. Чибисов, Первичные фотопроцессы 3’,3-диэтилкарбоцианина в присутствии кукурбит[7]урила: лазерный фотолиз и квантово-химический расчет. </w:t>
      </w:r>
      <w:r>
        <w:rPr>
          <w:i/>
          <w:iCs/>
          <w:szCs w:val="24"/>
        </w:rPr>
        <w:t>Химия высоких энергий</w:t>
      </w:r>
      <w:r>
        <w:rPr>
          <w:iCs/>
          <w:szCs w:val="24"/>
        </w:rPr>
        <w:t>, 2011, т.45 №2, с. 1-7.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/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/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/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/>
    </w:lvl>
    <w:lvl w:ilvl="4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  <w:rPr/>
    </w:lvl>
    <w:lvl w:ilvl="5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  <w:rPr/>
    </w:lvl>
    <w:lvl w:ilvl="6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/>
    </w:lvl>
    <w:lvl w:ilvl="7">
      <w:start w:val="1"/>
      <w:numFmt w:val="decimal"/>
      <w:lvlText w:val="%8."/>
      <w:lvlJc w:val="left"/>
      <w:pPr>
        <w:tabs>
          <w:tab w:val="num" w:pos="4026"/>
        </w:tabs>
        <w:ind w:left="4026" w:hanging="360"/>
      </w:pPr>
      <w:rPr/>
    </w:lvl>
    <w:lvl w:ilvl="8">
      <w:start w:val="1"/>
      <w:numFmt w:val="decimal"/>
      <w:lvlText w:val="%9."/>
      <w:lvlJc w:val="left"/>
      <w:pPr>
        <w:tabs>
          <w:tab w:val="num" w:pos="4386"/>
        </w:tabs>
        <w:ind w:left="4386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2z0">
    <w:name w:val="WW8Num2z0"/>
    <w:qFormat/>
    <w:rPr>
      <w:rFonts w:ascii="Calibri" w:hAnsi="Calibri" w:eastAsia="Times New Roman" w:cs="Calibri"/>
      <w:bCs/>
      <w:iCs/>
      <w:szCs w:val="24"/>
      <w:highlight w:val="yellow"/>
      <w:lang w:val="en-US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eastAsia="Times New Roman" w:cs="Calibri"/>
      <w:bCs/>
      <w:iCs/>
      <w:szCs w:val="24"/>
      <w:highlight w:val="yellow"/>
      <w:lang w:val="en-US" w:eastAsia="ru-RU"/>
    </w:rPr>
  </w:style>
  <w:style w:type="character" w:styleId="ListLabel2">
    <w:name w:val="ListLabel 2"/>
    <w:qFormat/>
    <w:rPr>
      <w:rFonts w:eastAsia="Times New Roman" w:cs="Calibri"/>
      <w:bCs/>
      <w:iCs/>
      <w:szCs w:val="24"/>
      <w:highlight w:val="yellow"/>
      <w:lang w:val="en-US" w:eastAsia="ru-RU"/>
    </w:rPr>
  </w:style>
  <w:style w:type="character" w:styleId="WW8Num4z0">
    <w:name w:val="WW8Num4z0"/>
    <w:qFormat/>
    <w:rPr>
      <w:rFonts w:eastAsia="Times New Roman" w:cs="Symbol"/>
      <w:iCs/>
      <w:szCs w:val="24"/>
      <w:lang w:val="en-US"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3">
    <w:name w:val="ListLabel 3"/>
    <w:qFormat/>
    <w:rPr>
      <w:rFonts w:eastAsia="Times New Roman" w:cs="Calibri"/>
      <w:bCs/>
      <w:iCs/>
      <w:szCs w:val="24"/>
      <w:highlight w:val="yellow"/>
      <w:lang w:val="en-US" w:eastAsia="ru-RU"/>
    </w:rPr>
  </w:style>
  <w:style w:type="character" w:styleId="ListLabel4">
    <w:name w:val="ListLabel 4"/>
    <w:qFormat/>
    <w:rPr>
      <w:rFonts w:eastAsia="Times New Roman" w:cs="Symbol"/>
      <w:iCs/>
      <w:szCs w:val="24"/>
      <w:lang w:val="en-US" w:eastAsia="ru-RU"/>
    </w:rPr>
  </w:style>
  <w:style w:type="character" w:styleId="ListLabel5">
    <w:name w:val="ListLabel 5"/>
    <w:qFormat/>
    <w:rPr>
      <w:rFonts w:eastAsia="Times New Roman" w:cs="Calibri"/>
      <w:bCs/>
      <w:iCs/>
      <w:szCs w:val="24"/>
      <w:highlight w:val="yellow"/>
      <w:lang w:val="en-US" w:eastAsia="ru-RU"/>
    </w:rPr>
  </w:style>
  <w:style w:type="character" w:styleId="ListLabel6">
    <w:name w:val="ListLabel 6"/>
    <w:qFormat/>
    <w:rPr>
      <w:rFonts w:eastAsia="Times New Roman" w:cs="Symbol"/>
      <w:iCs/>
      <w:szCs w:val="24"/>
      <w:lang w:val="en-US" w:eastAsia="ru-RU"/>
    </w:rPr>
  </w:style>
  <w:style w:type="character" w:styleId="WW8Num3z0">
    <w:name w:val="WW8Num3z0"/>
    <w:qFormat/>
    <w:rPr>
      <w:rFonts w:eastAsia="MS Mincho;ＭＳ 明朝"/>
      <w:lang w:val="en-US" w:eastAsia="ja-JP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7">
    <w:name w:val="ListLabel 7"/>
    <w:qFormat/>
    <w:rPr>
      <w:rFonts w:eastAsia="Times New Roman" w:cs="Calibri"/>
      <w:bCs/>
      <w:iCs/>
      <w:szCs w:val="24"/>
      <w:highlight w:val="yellow"/>
      <w:lang w:val="en-US" w:eastAsia="ru-RU"/>
    </w:rPr>
  </w:style>
  <w:style w:type="character" w:styleId="ListLabel8">
    <w:name w:val="ListLabel 8"/>
    <w:qFormat/>
    <w:rPr>
      <w:rFonts w:eastAsia="Times New Roman" w:cs="Symbol"/>
      <w:iCs/>
      <w:szCs w:val="24"/>
      <w:lang w:val="en-US" w:eastAsia="ru-RU"/>
    </w:rPr>
  </w:style>
  <w:style w:type="character" w:styleId="ListLabel9">
    <w:name w:val="ListLabel 9"/>
    <w:qFormat/>
    <w:rPr>
      <w:rFonts w:eastAsia="MS Mincho;ＭＳ 明朝"/>
      <w:lang w:val="en-US" w:eastAsia="ja-JP"/>
    </w:rPr>
  </w:style>
  <w:style w:type="character" w:styleId="ListLabel10">
    <w:name w:val="ListLabel 10"/>
    <w:qFormat/>
    <w:rPr>
      <w:rFonts w:eastAsia="Times New Roman" w:cs="Calibri"/>
      <w:bCs/>
      <w:iCs/>
      <w:szCs w:val="24"/>
      <w:highlight w:val="yellow"/>
      <w:lang w:val="en-US" w:eastAsia="ru-RU"/>
    </w:rPr>
  </w:style>
  <w:style w:type="character" w:styleId="ListLabel11">
    <w:name w:val="ListLabel 11"/>
    <w:qFormat/>
    <w:rPr>
      <w:rFonts w:eastAsia="Times New Roman" w:cs="Symbol"/>
      <w:iCs/>
      <w:szCs w:val="24"/>
      <w:lang w:val="en-US" w:eastAsia="ru-RU"/>
    </w:rPr>
  </w:style>
  <w:style w:type="character" w:styleId="ListLabel12">
    <w:name w:val="ListLabel 12"/>
    <w:qFormat/>
    <w:rPr>
      <w:rFonts w:eastAsia="MS Mincho;ＭＳ 明朝"/>
      <w:lang w:val="en-US" w:eastAsia="ja-JP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yle14">
    <w:name w:val="Основной шрифт абзаца"/>
    <w:qFormat/>
    <w:rPr/>
  </w:style>
  <w:style w:type="character" w:styleId="VisitedInternetLink">
    <w:name w:val="Visited Internet Link"/>
    <w:basedOn w:val="Style14"/>
    <w:rPr>
      <w:color w:val="800080"/>
      <w:u w:val="single"/>
    </w:rPr>
  </w:style>
  <w:style w:type="character" w:styleId="ListLabel13">
    <w:name w:val="ListLabel 13"/>
    <w:qFormat/>
    <w:rPr>
      <w:rFonts w:eastAsia="Times New Roman" w:cs="Calibri"/>
      <w:bCs/>
      <w:iCs/>
      <w:szCs w:val="24"/>
      <w:highlight w:val="yellow"/>
      <w:lang w:val="en-US" w:eastAsia="ru-RU"/>
    </w:rPr>
  </w:style>
  <w:style w:type="character" w:styleId="ListLabel14">
    <w:name w:val="ListLabel 14"/>
    <w:qFormat/>
    <w:rPr>
      <w:rFonts w:eastAsia="Times New Roman" w:cs="Symbol"/>
      <w:iCs/>
      <w:szCs w:val="24"/>
      <w:lang w:val="en-US" w:eastAsia="ru-RU"/>
    </w:rPr>
  </w:style>
  <w:style w:type="character" w:styleId="ListLabel15">
    <w:name w:val="ListLabel 15"/>
    <w:qFormat/>
    <w:rPr>
      <w:rFonts w:eastAsia="MS Mincho;ＭＳ 明朝"/>
      <w:lang w:val="en-US" w:eastAsia="ja-JP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ink.springer.com/journal/1089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1</Pages>
  <Words>272</Words>
  <Characters>1594</Characters>
  <CharactersWithSpaces>1861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2017-05-03T16:26:46Z</dcterms:created>
  <dc:creator/>
  <dc:description/>
  <dc:language>en-US</dc:language>
  <cp:lastModifiedBy/>
  <dcterms:modified xsi:type="dcterms:W3CDTF">2017-05-17T16:37:22Z</dcterms:modified>
  <cp:revision>8</cp:revision>
  <dc:subject/>
  <dc:title/>
</cp:coreProperties>
</file>