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  <w:szCs w:val="24"/>
        </w:rPr>
        <w:t>2016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color w:val="000000"/>
          <w:szCs w:val="24"/>
        </w:rPr>
      </w:pPr>
      <w:r>
        <w:rPr>
          <w:b w:val="false"/>
          <w:bCs w:val="false"/>
          <w:color w:val="000000"/>
          <w:szCs w:val="24"/>
        </w:rPr>
      </w:r>
    </w:p>
    <w:p>
      <w:pPr>
        <w:pStyle w:val="Style14"/>
        <w:widowControl w:val="false"/>
        <w:numPr>
          <w:ilvl w:val="0"/>
          <w:numId w:val="1"/>
        </w:numPr>
        <w:spacing w:lineRule="auto" w:line="240" w:before="0" w:after="0"/>
        <w:contextualSpacing/>
        <w:rPr>
          <w:b w:val="false"/>
          <w:b w:val="false"/>
          <w:bCs w:val="false"/>
          <w:color w:val="000000"/>
        </w:rPr>
      </w:pPr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4"/>
          <w:szCs w:val="24"/>
          <w:lang w:val="en-US"/>
        </w:rPr>
        <w:t xml:space="preserve">Covalent binding of fullerene C60 to dithienylethene as a promising approach to the preparation of new photochromic compounds / A.R.Tuktarov, A.A.Khuzin, A.R.Akhmetov, L. M. Khalilov, A. R. Tulyabaev. V. A. Barachevskii, O. V. Venidiktova, U. M. Dzhemilev // Mendeleev Commun. — 2016. – V. 26. </w:t>
      </w:r>
      <w:bookmarkStart w:id="0" w:name="OLE_LINK51"/>
      <w:bookmarkStart w:id="1" w:name="OLE_LINK7"/>
      <w:bookmarkStart w:id="2" w:name="OLE_LINK8"/>
      <w:bookmarkStart w:id="3" w:name="OLE_LINK9"/>
      <w:bookmarkStart w:id="4" w:name="OLE_LINK10"/>
      <w:bookmarkStart w:id="5" w:name="OLE_LINK11"/>
      <w:bookmarkStart w:id="6" w:name="OLE_LINK12"/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4"/>
          <w:szCs w:val="24"/>
          <w:lang w:val="en-US"/>
        </w:rPr>
        <w:t>—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4"/>
          <w:szCs w:val="24"/>
          <w:lang w:val="en-US"/>
        </w:rPr>
        <w:t xml:space="preserve"> C.143-145.</w:t>
      </w:r>
    </w:p>
    <w:p>
      <w:pPr>
        <w:pStyle w:val="Style14"/>
        <w:widowControl w:val="false"/>
        <w:numPr>
          <w:ilvl w:val="0"/>
          <w:numId w:val="0"/>
        </w:numPr>
        <w:spacing w:lineRule="auto" w:line="240" w:before="0" w:after="0"/>
        <w:ind w:left="1440" w:hanging="0"/>
        <w:contextualSpacing/>
        <w:rPr>
          <w:rFonts w:ascii="Times New Roman" w:hAnsi="Times New Roman" w:cs="Times New Roman"/>
          <w:b w:val="false"/>
          <w:b w:val="false"/>
          <w:bCs w:val="false"/>
          <w:color w:val="000000"/>
          <w:spacing w:val="1"/>
          <w:sz w:val="24"/>
          <w:szCs w:val="24"/>
          <w:lang w:val="en-US"/>
        </w:rPr>
      </w:pPr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4"/>
          <w:szCs w:val="24"/>
          <w:lang w:val="en-US"/>
        </w:rPr>
      </w:r>
    </w:p>
    <w:p>
      <w:pPr>
        <w:pStyle w:val="Style14"/>
        <w:widowControl w:val="false"/>
        <w:numPr>
          <w:ilvl w:val="0"/>
          <w:numId w:val="1"/>
        </w:numPr>
        <w:spacing w:lineRule="auto" w:line="240" w:before="0" w:after="0"/>
        <w:contextualSpacing/>
        <w:rPr>
          <w:b w:val="false"/>
          <w:b w:val="false"/>
          <w:bCs w:val="false"/>
          <w:color w:val="000000"/>
        </w:rPr>
      </w:pPr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4"/>
          <w:szCs w:val="24"/>
          <w:lang w:val="en-US"/>
        </w:rPr>
        <w:t xml:space="preserve">Synthesis, structure and photochromic properties of hybrid molecules based on fullerene C60 and spiropyrans / A. R. Tuktarov, A. A. Khuzin, A. R. Tulyabaev, O. V. Venidictova, T. M. Valova, V. A. Barachevsky, L. M. Khalilov, U. M. Dzhemilev // RSC Adv. </w:t>
      </w:r>
      <w:bookmarkStart w:id="7" w:name="OLE_LINK76"/>
      <w:bookmarkStart w:id="8" w:name="OLE_LINK75"/>
      <w:bookmarkStart w:id="9" w:name="OLE_LINK74"/>
      <w:bookmarkStart w:id="10" w:name="OLE_LINK73"/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4"/>
          <w:szCs w:val="24"/>
          <w:lang w:val="en-US"/>
        </w:rPr>
        <w:t>— 2016</w:t>
      </w:r>
      <w:bookmarkEnd w:id="7"/>
      <w:bookmarkEnd w:id="8"/>
      <w:bookmarkEnd w:id="9"/>
      <w:bookmarkEnd w:id="10"/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4"/>
          <w:szCs w:val="24"/>
          <w:lang w:val="en-US"/>
        </w:rPr>
        <w:t>. — 6. – C. 71151–71155.</w:t>
      </w:r>
    </w:p>
    <w:p>
      <w:pPr>
        <w:pStyle w:val="Style14"/>
        <w:widowControl w:val="false"/>
        <w:numPr>
          <w:ilvl w:val="0"/>
          <w:numId w:val="0"/>
        </w:numPr>
        <w:spacing w:lineRule="auto" w:line="240" w:before="0" w:after="120"/>
        <w:ind w:left="1440" w:hanging="0"/>
        <w:contextualSpacing/>
        <w:rPr>
          <w:b w:val="false"/>
          <w:b w:val="false"/>
          <w:bCs w:val="false"/>
          <w:color w:val="000000"/>
          <w:szCs w:val="24"/>
        </w:rPr>
      </w:pPr>
      <w:r>
        <w:rPr>
          <w:b w:val="false"/>
          <w:bCs w:val="false"/>
          <w:color w:val="000000"/>
          <w:szCs w:val="24"/>
        </w:rPr>
      </w:r>
    </w:p>
    <w:p>
      <w:pPr>
        <w:pStyle w:val="Style14"/>
        <w:widowControl w:val="false"/>
        <w:numPr>
          <w:ilvl w:val="0"/>
          <w:numId w:val="1"/>
        </w:numPr>
        <w:spacing w:lineRule="auto" w:line="240" w:before="0" w:after="0"/>
        <w:contextualSpacing/>
        <w:rPr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Фотохромные системы с динамическим адаптивным фотообесцвечиванием / И. Ю. Мартынов, М. А. Савельев, О. В. Венидиктова, Т. М. Валова, А. М. Горелик, В. А. Барачевский, Г. И. Сигейкин // Рос. xим. Журнал. </w:t>
      </w:r>
      <w:bookmarkStart w:id="11" w:name="OLE_LINK85"/>
      <w:bookmarkStart w:id="12" w:name="OLE_LINK86"/>
      <w:bookmarkStart w:id="13" w:name="OLE_LINK87"/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en-US"/>
        </w:rPr>
        <w:t>—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2016. –</w:t>
      </w:r>
      <w:bookmarkEnd w:id="11"/>
      <w:bookmarkEnd w:id="12"/>
      <w:bookmarkEnd w:id="13"/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Т. LX. -  № 4. – С. 39-46.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color w:val="000000"/>
          <w:szCs w:val="24"/>
        </w:rPr>
      </w:pPr>
      <w:r>
        <w:rPr>
          <w:b w:val="false"/>
          <w:bCs w:val="false"/>
          <w:color w:val="000000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  <w:szCs w:val="24"/>
        </w:rPr>
        <w:t>2015</w:t>
      </w:r>
    </w:p>
    <w:p>
      <w:pPr>
        <w:pStyle w:val="Normal"/>
        <w:numPr>
          <w:ilvl w:val="0"/>
          <w:numId w:val="1"/>
        </w:numPr>
        <w:spacing w:lineRule="auto" w:line="240"/>
        <w:rPr>
          <w:b w:val="false"/>
          <w:b w:val="false"/>
          <w:bCs w:val="false"/>
          <w:color w:val="000000"/>
          <w:szCs w:val="24"/>
        </w:rPr>
      </w:pPr>
      <w:r>
        <w:rPr>
          <w:b w:val="false"/>
          <w:bCs w:val="false"/>
          <w:color w:val="000000"/>
          <w:szCs w:val="24"/>
        </w:rPr>
      </w:r>
    </w:p>
    <w:p>
      <w:pPr>
        <w:pStyle w:val="Heading1"/>
        <w:numPr>
          <w:ilvl w:val="0"/>
          <w:numId w:val="0"/>
        </w:numPr>
        <w:shd w:val="clear" w:color="auto" w:fill="FFFFFF"/>
        <w:spacing w:lineRule="auto" w:line="240" w:beforeAutospacing="0" w:before="0" w:afterAutospacing="0" w:after="0"/>
        <w:ind w:left="720" w:hanging="0"/>
        <w:jc w:val="both"/>
        <w:textAlignment w:val="baseline"/>
        <w:rPr/>
      </w:pPr>
      <w:hyperlink r:id="rId2">
        <w:r>
          <w:rPr>
            <w:rStyle w:val="InternetLink"/>
            <w:rFonts w:eastAsia="Arial Unicode MS"/>
            <w:b w:val="false"/>
            <w:bCs w:val="false"/>
            <w:color w:val="000000"/>
            <w:sz w:val="24"/>
            <w:szCs w:val="24"/>
          </w:rPr>
          <w:t>K.S. Levchenko</w:t>
        </w:r>
      </w:hyperlink>
      <w:r>
        <w:rPr>
          <w:rFonts w:eastAsia="Arial Unicode MS"/>
          <w:b w:val="false"/>
          <w:bCs w:val="false"/>
          <w:color w:val="000000"/>
          <w:sz w:val="24"/>
          <w:szCs w:val="24"/>
        </w:rPr>
        <w:t>, </w:t>
      </w:r>
      <w:hyperlink r:id="rId3">
        <w:r>
          <w:rPr>
            <w:rStyle w:val="InternetLink"/>
            <w:rFonts w:eastAsia="Arial Unicode MS"/>
            <w:b w:val="false"/>
            <w:bCs w:val="false"/>
            <w:color w:val="000000"/>
            <w:sz w:val="24"/>
            <w:szCs w:val="24"/>
          </w:rPr>
          <w:t>V.A. Barachevski</w:t>
        </w:r>
      </w:hyperlink>
      <w:r>
        <w:rPr>
          <w:rFonts w:eastAsia="Arial Unicode MS"/>
          <w:b w:val="false"/>
          <w:bCs w:val="false"/>
          <w:color w:val="000000"/>
          <w:sz w:val="24"/>
          <w:szCs w:val="24"/>
        </w:rPr>
        <w:t>, </w:t>
      </w:r>
      <w:hyperlink r:id="rId4">
        <w:r>
          <w:rPr>
            <w:rStyle w:val="InternetLink"/>
            <w:rFonts w:eastAsia="Arial Unicode MS"/>
            <w:b w:val="false"/>
            <w:bCs w:val="false"/>
            <w:color w:val="000000"/>
            <w:sz w:val="24"/>
            <w:szCs w:val="24"/>
          </w:rPr>
          <w:t>O.I. Kobeleva</w:t>
        </w:r>
      </w:hyperlink>
      <w:r>
        <w:rPr>
          <w:rFonts w:eastAsia="Arial Unicode MS"/>
          <w:b w:val="false"/>
          <w:bCs w:val="false"/>
          <w:color w:val="000000"/>
          <w:sz w:val="24"/>
          <w:szCs w:val="24"/>
        </w:rPr>
        <w:t>, </w:t>
      </w:r>
      <w:hyperlink r:id="rId5">
        <w:r>
          <w:rPr>
            <w:rStyle w:val="InternetLink"/>
            <w:rFonts w:eastAsia="Arial Unicode MS"/>
            <w:b w:val="false"/>
            <w:bCs w:val="false"/>
            <w:color w:val="000000"/>
            <w:sz w:val="24"/>
            <w:szCs w:val="24"/>
          </w:rPr>
          <w:t>O.V. Venidiktova</w:t>
        </w:r>
      </w:hyperlink>
      <w:r>
        <w:rPr>
          <w:rFonts w:eastAsia="Arial Unicode MS"/>
          <w:b w:val="false"/>
          <w:bCs w:val="false"/>
          <w:color w:val="000000"/>
          <w:sz w:val="24"/>
          <w:szCs w:val="24"/>
        </w:rPr>
        <w:t>, </w:t>
      </w:r>
      <w:hyperlink r:id="rId6">
        <w:r>
          <w:rPr>
            <w:rStyle w:val="InternetLink"/>
            <w:rFonts w:eastAsia="Arial Unicode MS"/>
            <w:b w:val="false"/>
            <w:bCs w:val="false"/>
            <w:color w:val="000000"/>
            <w:sz w:val="24"/>
            <w:szCs w:val="24"/>
          </w:rPr>
          <w:t>T.M. Valova</w:t>
        </w:r>
      </w:hyperlink>
      <w:r>
        <w:rPr>
          <w:rFonts w:eastAsia="Arial Unicode MS"/>
          <w:b w:val="false"/>
          <w:bCs w:val="false"/>
          <w:color w:val="000000"/>
          <w:sz w:val="24"/>
          <w:szCs w:val="24"/>
        </w:rPr>
        <w:t>, </w:t>
      </w:r>
      <w:hyperlink r:id="rId7">
        <w:r>
          <w:rPr>
            <w:rStyle w:val="InternetLink"/>
            <w:rFonts w:eastAsia="Arial Unicode MS"/>
            <w:b w:val="false"/>
            <w:bCs w:val="false"/>
            <w:color w:val="000000"/>
            <w:sz w:val="24"/>
            <w:szCs w:val="24"/>
          </w:rPr>
          <w:t>A.M. Bogacheva</w:t>
        </w:r>
      </w:hyperlink>
      <w:r>
        <w:rPr>
          <w:rFonts w:eastAsia="Arial Unicode MS"/>
          <w:b w:val="false"/>
          <w:bCs w:val="false"/>
          <w:color w:val="000000"/>
          <w:sz w:val="24"/>
          <w:szCs w:val="24"/>
        </w:rPr>
        <w:t>, </w:t>
      </w:r>
      <w:hyperlink r:id="rId8">
        <w:r>
          <w:rPr>
            <w:rStyle w:val="InternetLink"/>
            <w:rFonts w:eastAsia="Arial Unicode MS"/>
            <w:b w:val="false"/>
            <w:bCs w:val="false"/>
            <w:color w:val="000000"/>
            <w:sz w:val="24"/>
            <w:szCs w:val="24"/>
          </w:rPr>
          <w:t>K.A. Chudov</w:t>
        </w:r>
      </w:hyperlink>
      <w:r>
        <w:rPr>
          <w:rFonts w:eastAsia="Arial Unicode MS"/>
          <w:b w:val="false"/>
          <w:bCs w:val="false"/>
          <w:color w:val="000000"/>
          <w:sz w:val="24"/>
          <w:szCs w:val="24"/>
        </w:rPr>
        <w:t>, </w:t>
      </w:r>
      <w:hyperlink r:id="rId9">
        <w:r>
          <w:rPr>
            <w:rStyle w:val="InternetLink"/>
            <w:rFonts w:eastAsia="Arial Unicode MS"/>
            <w:b w:val="false"/>
            <w:bCs w:val="false"/>
            <w:color w:val="000000"/>
            <w:sz w:val="24"/>
            <w:szCs w:val="24"/>
          </w:rPr>
          <w:t>E.P. Grebennikov</w:t>
        </w:r>
      </w:hyperlink>
      <w:r>
        <w:rPr>
          <w:rFonts w:eastAsia="Arial Unicode MS"/>
          <w:b w:val="false"/>
          <w:bCs w:val="false"/>
          <w:color w:val="000000"/>
          <w:sz w:val="24"/>
          <w:szCs w:val="24"/>
        </w:rPr>
        <w:t>,</w:t>
      </w:r>
      <w:hyperlink r:id="rId10">
        <w:r>
          <w:rPr>
            <w:rStyle w:val="InternetLink"/>
            <w:rFonts w:eastAsia="Arial Unicode MS"/>
            <w:b w:val="false"/>
            <w:bCs w:val="false"/>
            <w:color w:val="000000"/>
            <w:sz w:val="24"/>
            <w:szCs w:val="24"/>
          </w:rPr>
          <w:t>P.S. Shmelin</w:t>
        </w:r>
      </w:hyperlink>
      <w:r>
        <w:rPr>
          <w:rFonts w:eastAsia="Arial Unicode MS"/>
          <w:b w:val="false"/>
          <w:bCs w:val="false"/>
          <w:color w:val="000000"/>
          <w:sz w:val="24"/>
          <w:szCs w:val="24"/>
        </w:rPr>
        <w:t>, </w:t>
      </w:r>
      <w:hyperlink r:id="rId11">
        <w:r>
          <w:rPr>
            <w:rStyle w:val="InternetLink"/>
            <w:rFonts w:eastAsia="Arial Unicode MS"/>
            <w:b w:val="false"/>
            <w:bCs w:val="false"/>
            <w:color w:val="000000"/>
            <w:sz w:val="24"/>
            <w:szCs w:val="24"/>
          </w:rPr>
          <w:t>N.O. Poroshin</w:t>
        </w:r>
      </w:hyperlink>
      <w:r>
        <w:rPr>
          <w:rFonts w:eastAsia="Arial Unicode MS"/>
          <w:b w:val="false"/>
          <w:bCs w:val="false"/>
          <w:color w:val="000000"/>
          <w:sz w:val="24"/>
          <w:szCs w:val="24"/>
        </w:rPr>
        <w:t>, </w:t>
      </w:r>
      <w:hyperlink r:id="rId12">
        <w:r>
          <w:rPr>
            <w:rStyle w:val="InternetLink"/>
            <w:rFonts w:eastAsia="Arial Unicode MS"/>
            <w:b w:val="false"/>
            <w:bCs w:val="false"/>
            <w:color w:val="000000"/>
            <w:sz w:val="24"/>
            <w:szCs w:val="24"/>
          </w:rPr>
          <w:t>G.E. Adamov</w:t>
        </w:r>
      </w:hyperlink>
      <w:r>
        <w:rPr>
          <w:rFonts w:eastAsia="Arial Unicode MS"/>
          <w:b w:val="false"/>
          <w:bCs w:val="false"/>
          <w:color w:val="000000"/>
          <w:sz w:val="24"/>
          <w:szCs w:val="24"/>
        </w:rPr>
        <w:t>, </w:t>
      </w:r>
      <w:hyperlink r:id="rId13">
        <w:r>
          <w:rPr>
            <w:rStyle w:val="InternetLink"/>
            <w:rFonts w:eastAsia="Arial Unicode MS"/>
            <w:b w:val="false"/>
            <w:bCs w:val="false"/>
            <w:color w:val="000000"/>
            <w:sz w:val="24"/>
            <w:szCs w:val="24"/>
          </w:rPr>
          <w:t>V.N. Yarovenko</w:t>
        </w:r>
      </w:hyperlink>
      <w:r>
        <w:rPr>
          <w:rFonts w:eastAsia="Arial Unicode MS"/>
          <w:b w:val="false"/>
          <w:bCs w:val="false"/>
          <w:color w:val="000000"/>
          <w:sz w:val="24"/>
          <w:szCs w:val="24"/>
        </w:rPr>
        <w:t>, </w:t>
      </w:r>
      <w:hyperlink r:id="rId14">
        <w:r>
          <w:rPr>
            <w:rStyle w:val="InternetLink"/>
            <w:rFonts w:eastAsia="Arial Unicode MS"/>
            <w:b w:val="false"/>
            <w:bCs w:val="false"/>
            <w:color w:val="000000"/>
            <w:sz w:val="24"/>
            <w:szCs w:val="24"/>
          </w:rPr>
          <w:t>M.M. Krayushkin</w:t>
        </w:r>
      </w:hyperlink>
      <w:r>
        <w:rPr>
          <w:rFonts w:eastAsia="Arial Unicode MS"/>
          <w:b w:val="false"/>
          <w:bCs w:val="false"/>
          <w:color w:val="000000"/>
          <w:sz w:val="24"/>
          <w:szCs w:val="24"/>
        </w:rPr>
        <w:t>.Synthesis of new fluorescent 1-(thien-2-yl)-9</w:t>
      </w:r>
      <w:r>
        <w:rPr>
          <w:rFonts w:eastAsia="Arial Unicode MS"/>
          <w:b w:val="false"/>
          <w:bCs w:val="false"/>
          <w:i/>
          <w:iCs/>
          <w:color w:val="000000"/>
          <w:sz w:val="24"/>
          <w:szCs w:val="24"/>
        </w:rPr>
        <w:t>H</w:t>
      </w:r>
      <w:r>
        <w:rPr>
          <w:rFonts w:eastAsia="Arial Unicode MS"/>
          <w:b w:val="false"/>
          <w:bCs w:val="false"/>
          <w:color w:val="000000"/>
          <w:sz w:val="24"/>
          <w:szCs w:val="24"/>
        </w:rPr>
        <w:t>-thieno[3,4-</w:t>
      </w:r>
      <w:r>
        <w:rPr>
          <w:rFonts w:eastAsia="Arial Unicode MS"/>
          <w:b w:val="false"/>
          <w:bCs w:val="false"/>
          <w:i/>
          <w:iCs/>
          <w:color w:val="000000"/>
          <w:sz w:val="24"/>
          <w:szCs w:val="24"/>
        </w:rPr>
        <w:t>b</w:t>
      </w:r>
      <w:r>
        <w:rPr>
          <w:rFonts w:eastAsia="Arial Unicode MS"/>
          <w:b w:val="false"/>
          <w:bCs w:val="false"/>
          <w:color w:val="000000"/>
          <w:sz w:val="24"/>
          <w:szCs w:val="24"/>
        </w:rPr>
        <w:t xml:space="preserve">]-chroman-9-ones and their fluorescent photomodulation by photochromic dihetarylethenes. </w:t>
      </w:r>
      <w:r>
        <w:rPr>
          <w:rFonts w:eastAsia="Arial Unicode MS"/>
          <w:b w:val="false"/>
          <w:bCs w:val="false"/>
          <w:i/>
          <w:color w:val="000000"/>
          <w:sz w:val="24"/>
          <w:szCs w:val="24"/>
        </w:rPr>
        <w:t>Tetrahedron Lett.,</w:t>
      </w:r>
      <w:r>
        <w:rPr>
          <w:rFonts w:eastAsia="Arial Unicode MS"/>
          <w:b w:val="false"/>
          <w:bCs w:val="false"/>
          <w:color w:val="000000"/>
          <w:sz w:val="24"/>
          <w:szCs w:val="24"/>
        </w:rPr>
        <w:t xml:space="preserve"> 2015,56 (9), 1085-1089.</w:t>
      </w:r>
    </w:p>
    <w:p>
      <w:pPr>
        <w:pStyle w:val="Heading1"/>
        <w:numPr>
          <w:ilvl w:val="0"/>
          <w:numId w:val="0"/>
        </w:numPr>
        <w:shd w:val="clear" w:color="auto" w:fill="FFFFFF"/>
        <w:spacing w:lineRule="auto" w:line="240" w:beforeAutospacing="0" w:before="0" w:afterAutospacing="0" w:after="0"/>
        <w:ind w:left="720" w:hanging="0"/>
        <w:jc w:val="both"/>
        <w:textAlignment w:val="baseline"/>
        <w:rPr>
          <w:rFonts w:eastAsia="Arial Unicode MS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Arial Unicode MS"/>
          <w:b w:val="false"/>
          <w:bCs w:val="false"/>
          <w:color w:val="000000"/>
          <w:sz w:val="24"/>
          <w:szCs w:val="24"/>
        </w:rPr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0" w:before="0" w:afterAutospacing="0" w:after="0"/>
        <w:jc w:val="both"/>
        <w:textAlignment w:val="baseline"/>
        <w:rPr>
          <w:b w:val="false"/>
          <w:b w:val="false"/>
          <w:bCs w:val="false"/>
          <w:color w:val="000000"/>
        </w:rPr>
      </w:pPr>
      <w:r>
        <w:rPr>
          <w:rFonts w:eastAsia="Arial Unicode MS"/>
          <w:b w:val="false"/>
          <w:bCs w:val="false"/>
          <w:color w:val="000000"/>
          <w:sz w:val="24"/>
          <w:szCs w:val="24"/>
          <w:lang w:val="en-US"/>
        </w:rPr>
        <w:t>A.R.Tuktarov, A.A.Khuzin, A.R.Akhmetov, V.A.Barachevsky, O.V.Venidiktova, U.M.Dzhemilev. Synthesis and photochromic properties of fullerene C</w:t>
      </w:r>
      <w:r>
        <w:rPr>
          <w:rFonts w:eastAsia="Arial Unicode MS"/>
          <w:b w:val="false"/>
          <w:bCs w:val="false"/>
          <w:color w:val="000000"/>
          <w:sz w:val="24"/>
          <w:szCs w:val="24"/>
          <w:vertAlign w:val="subscript"/>
          <w:lang w:val="en-US"/>
        </w:rPr>
        <w:t>60</w:t>
      </w:r>
      <w:r>
        <w:rPr>
          <w:rFonts w:eastAsia="Arial Unicode MS"/>
          <w:b w:val="false"/>
          <w:bCs w:val="false"/>
          <w:color w:val="000000"/>
          <w:sz w:val="24"/>
          <w:szCs w:val="24"/>
          <w:lang w:val="en-US"/>
        </w:rPr>
        <w:t xml:space="preserve"> adducts with dithienylethenes. </w:t>
      </w:r>
      <w:r>
        <w:rPr>
          <w:rFonts w:eastAsia="Arial Unicode MS"/>
          <w:b w:val="false"/>
          <w:bCs w:val="false"/>
          <w:i/>
          <w:color w:val="000000"/>
          <w:sz w:val="24"/>
          <w:szCs w:val="24"/>
          <w:lang w:val="en-US"/>
        </w:rPr>
        <w:t>TetrahedronLett.,</w:t>
      </w:r>
      <w:r>
        <w:rPr>
          <w:rFonts w:eastAsia="Arial Unicode MS"/>
          <w:b w:val="false"/>
          <w:bCs w:val="false"/>
          <w:color w:val="000000"/>
          <w:sz w:val="24"/>
          <w:szCs w:val="24"/>
          <w:lang w:val="en-US"/>
        </w:rPr>
        <w:t xml:space="preserve"> 2015, 56(52), </w:t>
      </w:r>
      <w:r>
        <w:rPr>
          <w:rFonts w:eastAsia="Arial Unicode MS"/>
          <w:b w:val="false"/>
          <w:bCs w:val="false"/>
          <w:iCs/>
          <w:color w:val="000000"/>
          <w:sz w:val="24"/>
          <w:szCs w:val="24"/>
          <w:shd w:fill="auto" w:val="clear"/>
          <w:lang w:val="en-US"/>
        </w:rPr>
        <w:t>7154-7157</w:t>
      </w:r>
      <w:r>
        <w:rPr>
          <w:rFonts w:eastAsia="Arial Unicode MS"/>
          <w:b w:val="false"/>
          <w:bCs w:val="false"/>
          <w:color w:val="000000"/>
          <w:sz w:val="24"/>
          <w:szCs w:val="24"/>
          <w:lang w:val="en-US"/>
        </w:rPr>
        <w:t>.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color w:val="000000"/>
          <w:szCs w:val="24"/>
        </w:rPr>
      </w:pPr>
      <w:r>
        <w:rPr>
          <w:b w:val="false"/>
          <w:bCs w:val="false"/>
          <w:color w:val="000000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  <w:szCs w:val="24"/>
        </w:rPr>
        <w:t>2014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color w:val="000000"/>
          <w:szCs w:val="24"/>
        </w:rPr>
      </w:pPr>
      <w:r>
        <w:rPr>
          <w:b w:val="false"/>
          <w:bCs w:val="false"/>
          <w:color w:val="000000"/>
          <w:szCs w:val="24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eastAsia="TimesNewRoman;MS Mincho"/>
          <w:b w:val="false"/>
          <w:bCs w:val="false"/>
          <w:color w:val="000000"/>
        </w:rPr>
        <w:t>Попов Л. Д., Зайченко Н. Л., Венидиктова О. В., Валова Т. М., Барачевский В. А., Шиенок А. И., Кольцова Л. С., Левченков С. И., Коган В. А. «</w:t>
      </w:r>
      <w:r>
        <w:rPr>
          <w:b w:val="false"/>
          <w:bCs w:val="false"/>
          <w:color w:val="000000"/>
        </w:rPr>
        <w:t xml:space="preserve">Синтез, фотохромизм и комплексообразование с ионами металлов пиразолилазометинового производного спирооксазина». // </w:t>
      </w:r>
      <w:r>
        <w:rPr>
          <w:b w:val="false"/>
          <w:bCs w:val="false"/>
          <w:i/>
          <w:iCs/>
          <w:color w:val="000000"/>
        </w:rPr>
        <w:t>Журнал общей химии. -</w:t>
      </w:r>
      <w:r>
        <w:rPr>
          <w:b w:val="false"/>
          <w:bCs w:val="false"/>
          <w:iCs/>
          <w:color w:val="000000"/>
        </w:rPr>
        <w:t>2014.-Т. 84 (вып.5)</w:t>
      </w:r>
      <w:r>
        <w:rPr>
          <w:b w:val="false"/>
          <w:bCs w:val="false"/>
          <w:i/>
          <w:iCs/>
          <w:color w:val="000000"/>
        </w:rPr>
        <w:t>.</w:t>
      </w:r>
      <w:r>
        <w:rPr>
          <w:b w:val="false"/>
          <w:bCs w:val="false"/>
          <w:iCs/>
          <w:color w:val="000000"/>
        </w:rPr>
        <w:t>-С.</w:t>
      </w:r>
      <w:r>
        <w:rPr>
          <w:b w:val="false"/>
          <w:bCs w:val="false"/>
          <w:i/>
          <w:iCs/>
          <w:color w:val="000000"/>
        </w:rPr>
        <w:t xml:space="preserve"> </w:t>
      </w:r>
      <w:r>
        <w:rPr>
          <w:b w:val="false"/>
          <w:bCs w:val="false"/>
          <w:iCs/>
          <w:color w:val="000000"/>
        </w:rPr>
        <w:t>843-847 [</w:t>
      </w:r>
      <w:r>
        <w:rPr>
          <w:b w:val="false"/>
          <w:bCs w:val="false"/>
          <w:color w:val="000000"/>
          <w:lang w:val="en-US"/>
        </w:rPr>
        <w:t>Rus</w:t>
      </w:r>
      <w:r>
        <w:rPr>
          <w:b w:val="false"/>
          <w:bCs w:val="false"/>
          <w:color w:val="000000"/>
        </w:rPr>
        <w:t xml:space="preserve">. </w:t>
      </w:r>
      <w:r>
        <w:rPr>
          <w:b w:val="false"/>
          <w:bCs w:val="false"/>
          <w:color w:val="000000"/>
          <w:lang w:val="en-US"/>
        </w:rPr>
        <w:t>J</w:t>
      </w:r>
      <w:r>
        <w:rPr>
          <w:b w:val="false"/>
          <w:bCs w:val="false"/>
          <w:color w:val="000000"/>
        </w:rPr>
        <w:t xml:space="preserve">. </w:t>
      </w:r>
      <w:r>
        <w:rPr>
          <w:b w:val="false"/>
          <w:bCs w:val="false"/>
          <w:color w:val="000000"/>
          <w:lang w:val="en-US"/>
        </w:rPr>
        <w:t>Gener</w:t>
      </w:r>
      <w:r>
        <w:rPr>
          <w:b w:val="false"/>
          <w:bCs w:val="false"/>
          <w:color w:val="000000"/>
        </w:rPr>
        <w:t xml:space="preserve">. </w:t>
      </w:r>
      <w:r>
        <w:rPr>
          <w:b w:val="false"/>
          <w:bCs w:val="false"/>
          <w:color w:val="000000"/>
          <w:lang w:val="en-US"/>
        </w:rPr>
        <w:t>Chem</w:t>
      </w:r>
      <w:r>
        <w:rPr>
          <w:b w:val="false"/>
          <w:bCs w:val="false"/>
          <w:color w:val="000000"/>
        </w:rPr>
        <w:t>. -</w:t>
      </w:r>
      <w:r>
        <w:rPr>
          <w:b w:val="false"/>
          <w:bCs w:val="false"/>
          <w:color w:val="000000"/>
          <w:shd w:fill="auto" w:val="clear"/>
        </w:rPr>
        <w:t xml:space="preserve">2014.- </w:t>
      </w:r>
      <w:r>
        <w:rPr>
          <w:b w:val="false"/>
          <w:bCs w:val="false"/>
          <w:color w:val="000000"/>
          <w:shd w:fill="auto" w:val="clear"/>
          <w:lang w:val="en-US"/>
        </w:rPr>
        <w:t>V</w:t>
      </w:r>
      <w:r>
        <w:rPr>
          <w:b w:val="false"/>
          <w:bCs w:val="false"/>
          <w:color w:val="000000"/>
          <w:shd w:fill="auto" w:val="clear"/>
        </w:rPr>
        <w:t>.84 (</w:t>
      </w:r>
      <w:r>
        <w:rPr>
          <w:b w:val="false"/>
          <w:bCs w:val="false"/>
          <w:color w:val="000000"/>
          <w:shd w:fill="auto" w:val="clear"/>
          <w:lang w:val="en-US"/>
        </w:rPr>
        <w:t>Issue</w:t>
      </w:r>
      <w:r>
        <w:rPr>
          <w:b w:val="false"/>
          <w:bCs w:val="false"/>
          <w:color w:val="000000"/>
          <w:shd w:fill="auto" w:val="clear"/>
        </w:rPr>
        <w:t xml:space="preserve"> 5)</w:t>
      </w:r>
      <w:r>
        <w:rPr>
          <w:rStyle w:val="Appleconvertedspace"/>
          <w:b w:val="false"/>
          <w:bCs w:val="false"/>
          <w:color w:val="000000"/>
          <w:shd w:fill="auto" w:val="clear"/>
        </w:rPr>
        <w:t>.-</w:t>
      </w:r>
      <w:r>
        <w:rPr>
          <w:rStyle w:val="Appleconvertedspace"/>
          <w:b w:val="false"/>
          <w:bCs w:val="false"/>
          <w:color w:val="000000"/>
          <w:shd w:fill="auto" w:val="clear"/>
          <w:lang w:val="en-US"/>
        </w:rPr>
        <w:t>P</w:t>
      </w:r>
      <w:r>
        <w:rPr>
          <w:rStyle w:val="Appleconvertedspace"/>
          <w:b w:val="false"/>
          <w:bCs w:val="false"/>
          <w:color w:val="000000"/>
          <w:shd w:fill="auto" w:val="clear"/>
        </w:rPr>
        <w:t>.</w:t>
      </w:r>
      <w:r>
        <w:rPr>
          <w:b w:val="false"/>
          <w:bCs w:val="false"/>
          <w:color w:val="000000"/>
          <w:shd w:fill="auto" w:val="clear"/>
        </w:rPr>
        <w:t xml:space="preserve"> 934-938</w:t>
      </w:r>
      <w:r>
        <w:rPr>
          <w:b w:val="false"/>
          <w:bCs w:val="false"/>
          <w:iCs/>
          <w:color w:val="000000"/>
        </w:rPr>
        <w:t>]</w:t>
      </w:r>
      <w:r>
        <w:rPr>
          <w:b w:val="false"/>
          <w:bCs w:val="false"/>
          <w:i/>
          <w:iCs/>
          <w:color w:val="000000"/>
        </w:rPr>
        <w:t xml:space="preserve">. </w:t>
      </w:r>
    </w:p>
    <w:p>
      <w:pPr>
        <w:pStyle w:val="Normal"/>
        <w:numPr>
          <w:ilvl w:val="0"/>
          <w:numId w:val="1"/>
        </w:numPr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  <w:t>Барачевский В.А., Айт А.О., Кобелева О.И., Венидиктова О.В.. Валова Т.М.. «Фотохромные полимерные композиционные материалы для фотоники».</w:t>
      </w:r>
      <w:r>
        <w:rPr>
          <w:b w:val="false"/>
          <w:bCs w:val="false"/>
          <w:i/>
          <w:color w:val="000000"/>
        </w:rPr>
        <w:t xml:space="preserve"> // Материалы 9-ой Всероссийской научной конференции «Технологии и материалы для экстремальных условий: термопласты конструкционного назначения»</w:t>
      </w:r>
      <w:r>
        <w:rPr>
          <w:b w:val="false"/>
          <w:bCs w:val="false"/>
          <w:color w:val="000000"/>
        </w:rPr>
        <w:t>, МЦАИ РАН. -2014. –С.123-133</w:t>
      </w:r>
    </w:p>
    <w:p>
      <w:pPr>
        <w:pStyle w:val="Normal"/>
        <w:numPr>
          <w:ilvl w:val="0"/>
          <w:numId w:val="0"/>
        </w:numPr>
        <w:ind w:left="720" w:hanging="0"/>
        <w:rPr>
          <w:b w:val="false"/>
          <w:b w:val="false"/>
          <w:bCs w:val="false"/>
          <w:i/>
          <w:i/>
          <w:iCs/>
          <w:color w:val="000000"/>
        </w:rPr>
      </w:pPr>
      <w:r>
        <w:rPr>
          <w:b w:val="false"/>
          <w:bCs w:val="false"/>
          <w:i/>
          <w:iCs/>
          <w:color w:val="000000"/>
        </w:rPr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color w:val="000000"/>
          <w:szCs w:val="24"/>
        </w:rPr>
      </w:pPr>
      <w:r>
        <w:rPr>
          <w:b w:val="false"/>
          <w:bCs w:val="false"/>
          <w:color w:val="000000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color w:val="000000"/>
          <w:szCs w:val="24"/>
        </w:rPr>
      </w:pPr>
      <w:r>
        <w:rPr>
          <w:b w:val="false"/>
          <w:bCs w:val="false"/>
          <w:color w:val="000000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  <w:szCs w:val="24"/>
        </w:rPr>
        <w:t>2012</w:t>
      </w:r>
    </w:p>
    <w:p>
      <w:pPr>
        <w:pStyle w:val="Normal"/>
        <w:numPr>
          <w:ilvl w:val="0"/>
          <w:numId w:val="1"/>
        </w:numPr>
        <w:jc w:val="both"/>
        <w:rPr>
          <w:rFonts w:cs="Symbol"/>
        </w:rPr>
      </w:pPr>
      <w:r>
        <w:rPr>
          <w:rFonts w:cs="Symbol"/>
          <w:b w:val="false"/>
          <w:bCs w:val="false"/>
          <w:color w:val="000000"/>
          <w:szCs w:val="24"/>
        </w:rPr>
        <w:t xml:space="preserve">М. Л. Кештов, А. М. Юнгпинг, В. А. Барачевский, О. В. Венидиктова, Д. В. Марочкин, Д. Ю. Годовский, А. Р. Хохлов. «Сопряженные кремний- и германийсодержащие полифторэтинилены, синтезированные в суперкритической двуокиси углерода.» // </w:t>
      </w:r>
      <w:r>
        <w:rPr>
          <w:rFonts w:cs="Symbol"/>
          <w:b w:val="false"/>
          <w:bCs w:val="false"/>
          <w:i/>
          <w:color w:val="000000"/>
          <w:szCs w:val="24"/>
        </w:rPr>
        <w:t>ДАН</w:t>
      </w:r>
      <w:r>
        <w:rPr>
          <w:rFonts w:cs="Symbol"/>
          <w:b w:val="false"/>
          <w:bCs w:val="false"/>
          <w:color w:val="000000"/>
          <w:szCs w:val="24"/>
        </w:rPr>
        <w:t>. - 2012. - Т. 445. - № 4. - с. 412-418 [</w:t>
      </w:r>
      <w:r>
        <w:rPr>
          <w:rFonts w:cs="Symbol"/>
          <w:b w:val="false"/>
          <w:bCs w:val="false"/>
          <w:color w:val="000000"/>
          <w:szCs w:val="24"/>
          <w:lang w:val="en-US"/>
        </w:rPr>
        <w:t>Doklady</w:t>
      </w:r>
      <w:r>
        <w:rPr>
          <w:rFonts w:cs="Symbol"/>
          <w:b w:val="false"/>
          <w:bCs w:val="false"/>
          <w:color w:val="000000"/>
          <w:szCs w:val="24"/>
        </w:rPr>
        <w:t xml:space="preserve">, </w:t>
      </w:r>
      <w:r>
        <w:rPr>
          <w:rFonts w:cs="Symbol"/>
          <w:b w:val="false"/>
          <w:bCs w:val="false"/>
          <w:color w:val="000000"/>
          <w:szCs w:val="24"/>
          <w:lang w:val="en-US"/>
        </w:rPr>
        <w:t>Chemistry</w:t>
      </w:r>
      <w:r>
        <w:rPr>
          <w:rFonts w:cs="Symbol"/>
          <w:b w:val="false"/>
          <w:bCs w:val="false"/>
          <w:color w:val="000000"/>
          <w:szCs w:val="24"/>
        </w:rPr>
        <w:t xml:space="preserve">. 2012. 445, </w:t>
      </w:r>
      <w:r>
        <w:rPr>
          <w:rFonts w:cs="Symbol"/>
          <w:b w:val="false"/>
          <w:bCs w:val="false"/>
          <w:color w:val="000000"/>
          <w:szCs w:val="24"/>
          <w:lang w:val="en-US"/>
        </w:rPr>
        <w:t>Part</w:t>
      </w:r>
      <w:r>
        <w:rPr>
          <w:rFonts w:cs="Symbol"/>
          <w:b w:val="false"/>
          <w:bCs w:val="false"/>
          <w:color w:val="000000"/>
          <w:szCs w:val="24"/>
        </w:rPr>
        <w:t xml:space="preserve"> 2, 143-149]. </w:t>
      </w:r>
      <w:r>
        <w:rPr>
          <w:rFonts w:eastAsia="Times New Roman" w:cs="Symbol"/>
          <w:b w:val="false"/>
          <w:bCs w:val="false"/>
          <w:color w:val="000000"/>
          <w:szCs w:val="24"/>
          <w:lang w:eastAsia="ru-RU"/>
        </w:rPr>
        <w:t xml:space="preserve">Есть </w:t>
      </w:r>
      <w:r>
        <w:rPr>
          <w:rFonts w:eastAsia="Times New Roman" w:cs="Symbol"/>
          <w:b w:val="false"/>
          <w:bCs w:val="false"/>
          <w:color w:val="000000"/>
          <w:szCs w:val="24"/>
          <w:lang w:val="en-US" w:eastAsia="ru-RU"/>
        </w:rPr>
        <w:t>WOS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jc w:val="both"/>
        <w:rPr>
          <w:b w:val="false"/>
          <w:b w:val="false"/>
          <w:bCs w:val="false"/>
          <w:color w:val="000000"/>
          <w:szCs w:val="24"/>
        </w:rPr>
      </w:pPr>
      <w:r>
        <w:rPr>
          <w:b w:val="false"/>
          <w:bCs w:val="false"/>
          <w:color w:val="000000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color w:val="000000"/>
          <w:szCs w:val="24"/>
        </w:rPr>
      </w:pPr>
      <w:r>
        <w:rPr>
          <w:b w:val="false"/>
          <w:bCs w:val="false"/>
          <w:color w:val="000000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  <w:szCs w:val="24"/>
        </w:rPr>
        <w:t>2010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b w:val="false"/>
          <w:bCs w:val="false"/>
          <w:color w:val="000000"/>
          <w:szCs w:val="24"/>
        </w:rPr>
        <w:t xml:space="preserve">В.З.Ширинян, В.А.Барачевский, А.А.Шимкин, М.М.Краюшкин, А.Л.Маилян, Д.В.Цыганов, О.А.Винтер, О.В.Венидиктова «Синтез и спектральнокинетическое исследование фотоиндуцированных процессов в растворах фотохромных нитрозамещенных индолиновых и бензотиенопирролиновых спиропиранов» // </w:t>
      </w:r>
      <w:r>
        <w:rPr>
          <w:b w:val="false"/>
          <w:bCs w:val="false"/>
          <w:i/>
          <w:color w:val="000000"/>
          <w:szCs w:val="24"/>
        </w:rPr>
        <w:t>Изв. АН, сер. хим.</w:t>
      </w:r>
      <w:r>
        <w:rPr>
          <w:b w:val="false"/>
          <w:bCs w:val="false"/>
          <w:color w:val="000000"/>
          <w:szCs w:val="24"/>
        </w:rPr>
        <w:t>, № 4, 811-815, 2010 (</w:t>
      </w:r>
      <w:r>
        <w:rPr>
          <w:rStyle w:val="Publication3"/>
          <w:b w:val="false"/>
          <w:bCs w:val="false"/>
          <w:color w:val="000000"/>
          <w:szCs w:val="24"/>
          <w:lang w:val="en"/>
        </w:rPr>
        <w:t>Rus</w:t>
      </w:r>
      <w:r>
        <w:rPr>
          <w:rStyle w:val="Publication3"/>
          <w:b w:val="false"/>
          <w:bCs w:val="false"/>
          <w:color w:val="000000"/>
          <w:szCs w:val="24"/>
        </w:rPr>
        <w:t xml:space="preserve">. </w:t>
      </w:r>
      <w:r>
        <w:rPr>
          <w:rStyle w:val="Publication3"/>
          <w:b w:val="false"/>
          <w:bCs w:val="false"/>
          <w:color w:val="000000"/>
          <w:szCs w:val="24"/>
          <w:lang w:val="en"/>
        </w:rPr>
        <w:t>Chem</w:t>
      </w:r>
      <w:r>
        <w:rPr>
          <w:rStyle w:val="Publication3"/>
          <w:b w:val="false"/>
          <w:bCs w:val="false"/>
          <w:color w:val="000000"/>
          <w:szCs w:val="24"/>
        </w:rPr>
        <w:t xml:space="preserve">. </w:t>
      </w:r>
      <w:r>
        <w:rPr>
          <w:rStyle w:val="Publication3"/>
          <w:b w:val="false"/>
          <w:bCs w:val="false"/>
          <w:color w:val="000000"/>
          <w:szCs w:val="24"/>
          <w:lang w:val="en"/>
        </w:rPr>
        <w:t>Bull</w:t>
      </w:r>
      <w:r>
        <w:rPr>
          <w:rStyle w:val="Publication3"/>
          <w:b w:val="false"/>
          <w:bCs w:val="false"/>
          <w:color w:val="000000"/>
          <w:szCs w:val="24"/>
        </w:rPr>
        <w:t>.</w:t>
      </w:r>
      <w:r>
        <w:rPr>
          <w:rStyle w:val="Volume"/>
          <w:b w:val="false"/>
          <w:bCs w:val="false"/>
          <w:color w:val="000000"/>
          <w:szCs w:val="24"/>
        </w:rPr>
        <w:t>, 2010</w:t>
      </w:r>
      <w:r>
        <w:rPr>
          <w:rStyle w:val="Part"/>
          <w:b w:val="false"/>
          <w:bCs w:val="false"/>
          <w:color w:val="000000"/>
          <w:szCs w:val="24"/>
        </w:rPr>
        <w:t xml:space="preserve">, </w:t>
      </w:r>
      <w:r>
        <w:rPr>
          <w:rStyle w:val="Part"/>
          <w:b w:val="false"/>
          <w:bCs w:val="false"/>
          <w:color w:val="000000"/>
          <w:szCs w:val="24"/>
          <w:lang w:val="en"/>
        </w:rPr>
        <w:t>v</w:t>
      </w:r>
      <w:r>
        <w:rPr>
          <w:rStyle w:val="Part"/>
          <w:b w:val="false"/>
          <w:bCs w:val="false"/>
          <w:color w:val="000000"/>
          <w:szCs w:val="24"/>
        </w:rPr>
        <w:t>. 59( 4)</w:t>
      </w:r>
      <w:r>
        <w:rPr>
          <w:rStyle w:val="Contribution"/>
          <w:b w:val="false"/>
          <w:bCs w:val="false"/>
          <w:color w:val="000000"/>
          <w:szCs w:val="24"/>
        </w:rPr>
        <w:t>, 828-832).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en-US" w:eastAsia="zh-CN" w:bidi="hi-IN"/>
    </w:rPr>
  </w:style>
  <w:style w:type="paragraph" w:styleId="Heading1">
    <w:name w:val="Heading 1"/>
    <w:basedOn w:val="Normal"/>
    <w:qFormat/>
    <w:pPr>
      <w:spacing w:beforeAutospacing="1" w:afterAutospacing="1"/>
      <w:outlineLvl w:val="0"/>
    </w:pPr>
    <w:rPr>
      <w:rFonts w:eastAsia="Times New Roman" w:cs="Times New Roman"/>
      <w:b/>
      <w:bCs/>
      <w:sz w:val="48"/>
      <w:szCs w:val="48"/>
      <w:lang w:val="en-US" w:eastAsia="ru-RU"/>
    </w:rPr>
  </w:style>
  <w:style w:type="character" w:styleId="WW8Num30z0">
    <w:name w:val="WW8Num30z0"/>
    <w:qFormat/>
    <w:rPr>
      <w:b w:val="false"/>
      <w:i w:val="false"/>
      <w:sz w:val="24"/>
      <w:szCs w:val="24"/>
      <w:highlight w:val="yellow"/>
      <w:lang w:val="en-US"/>
    </w:rPr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Style13">
    <w:name w:val="Основной шрифт абзаца"/>
    <w:qFormat/>
    <w:rPr/>
  </w:style>
  <w:style w:type="character" w:styleId="Publication3">
    <w:name w:val="publication3"/>
    <w:basedOn w:val="Style13"/>
    <w:qFormat/>
    <w:rPr/>
  </w:style>
  <w:style w:type="character" w:styleId="Volume">
    <w:name w:val="volume"/>
    <w:basedOn w:val="Style13"/>
    <w:qFormat/>
    <w:rPr/>
  </w:style>
  <w:style w:type="character" w:styleId="Part">
    <w:name w:val="part"/>
    <w:basedOn w:val="Style13"/>
    <w:qFormat/>
    <w:rPr/>
  </w:style>
  <w:style w:type="character" w:styleId="Contribution">
    <w:name w:val="contribution"/>
    <w:basedOn w:val="Style13"/>
    <w:qFormat/>
    <w:rPr/>
  </w:style>
  <w:style w:type="character" w:styleId="ListLabel1">
    <w:name w:val="ListLabel 1"/>
    <w:qFormat/>
    <w:rPr>
      <w:b w:val="false"/>
      <w:i w:val="false"/>
      <w:sz w:val="24"/>
      <w:szCs w:val="24"/>
      <w:highlight w:val="yellow"/>
      <w:lang w:val="en-US"/>
    </w:rPr>
  </w:style>
  <w:style w:type="character" w:styleId="WW8Num4z0">
    <w:name w:val="WW8Num4z0"/>
    <w:qFormat/>
    <w:rPr>
      <w:rFonts w:eastAsia="Times New Roman" w:cs="Symbol"/>
      <w:iCs/>
      <w:szCs w:val="24"/>
      <w:lang w:val="en-US" w:eastAsia="ru-RU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ListLabel2">
    <w:name w:val="ListLabel 2"/>
    <w:qFormat/>
    <w:rPr>
      <w:b w:val="false"/>
      <w:i w:val="false"/>
      <w:sz w:val="24"/>
      <w:szCs w:val="24"/>
      <w:highlight w:val="yellow"/>
      <w:lang w:val="en-US"/>
    </w:rPr>
  </w:style>
  <w:style w:type="character" w:styleId="WW8Num2z0">
    <w:name w:val="WW8Num2z0"/>
    <w:qFormat/>
    <w:rPr>
      <w:rFonts w:eastAsia="Times New Roman"/>
      <w:bCs/>
      <w:i/>
      <w:iCs/>
      <w:highlight w:val="cyan"/>
      <w:lang w:eastAsia="ru-RU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Appleconvertedspace">
    <w:name w:val="apple-converted-space"/>
    <w:basedOn w:val="Style13"/>
    <w:qFormat/>
    <w:rPr/>
  </w:style>
  <w:style w:type="character" w:styleId="ListLabel3">
    <w:name w:val="ListLabel 3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4">
    <w:name w:val="ListLabel 4"/>
    <w:qFormat/>
    <w:rPr>
      <w:rFonts w:eastAsia="Times New Roman"/>
      <w:bCs/>
      <w:i/>
      <w:iCs/>
      <w:highlight w:val="cyan"/>
      <w:lang w:eastAsia="ru-RU"/>
    </w:rPr>
  </w:style>
  <w:style w:type="character" w:styleId="ListLabel5">
    <w:name w:val="ListLabel 5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6">
    <w:name w:val="ListLabel 6"/>
    <w:qFormat/>
    <w:rPr>
      <w:rFonts w:eastAsia="Times New Roman"/>
      <w:bCs/>
      <w:i/>
      <w:iCs/>
      <w:highlight w:val="cyan"/>
      <w:lang w:eastAsia="ru-RU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7">
    <w:name w:val="ListLabel 7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8">
    <w:name w:val="ListLabel 8"/>
    <w:qFormat/>
    <w:rPr>
      <w:rFonts w:eastAsia="Times New Roman"/>
      <w:bCs/>
      <w:i/>
      <w:iCs/>
      <w:highlight w:val="cyan"/>
      <w:lang w:eastAsia="ru-RU"/>
    </w:rPr>
  </w:style>
  <w:style w:type="character" w:styleId="ListLabel9">
    <w:name w:val="ListLabel 9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10">
    <w:name w:val="ListLabel 10"/>
    <w:qFormat/>
    <w:rPr>
      <w:rFonts w:eastAsia="Times New Roman"/>
      <w:bCs/>
      <w:i/>
      <w:iCs/>
      <w:highlight w:val="cyan"/>
      <w:lang w:eastAsia="ru-RU"/>
    </w:rPr>
  </w:style>
  <w:style w:type="character" w:styleId="ListLabel11">
    <w:name w:val="ListLabel 11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12">
    <w:name w:val="ListLabel 12"/>
    <w:qFormat/>
    <w:rPr>
      <w:rFonts w:eastAsia="Times New Roman"/>
      <w:bCs/>
      <w:i/>
      <w:iCs/>
      <w:highlight w:val="cyan"/>
      <w:lang w:eastAsia="ru-RU"/>
    </w:rPr>
  </w:style>
  <w:style w:type="character" w:styleId="WW8Num14z0">
    <w:name w:val="WW8Num14z0"/>
    <w:qFormat/>
    <w:rPr>
      <w:rFonts w:ascii="Times New Roman" w:hAnsi="Times New Roman" w:eastAsia="Calibri" w:cs="Times New Roman"/>
      <w:iCs/>
      <w:spacing w:val="1"/>
      <w:sz w:val="24"/>
      <w:szCs w:val="24"/>
      <w:highlight w:val="red"/>
      <w:lang w:val="en-US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ListLabel13">
    <w:name w:val="ListLabel 13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14">
    <w:name w:val="ListLabel 14"/>
    <w:qFormat/>
    <w:rPr>
      <w:rFonts w:eastAsia="Times New Roman"/>
      <w:bCs/>
      <w:i/>
      <w:iCs/>
      <w:highlight w:val="cyan"/>
      <w:lang w:eastAsia="ru-RU"/>
    </w:rPr>
  </w:style>
  <w:style w:type="character" w:styleId="ListLabel15">
    <w:name w:val="ListLabel 15"/>
    <w:qFormat/>
    <w:rPr>
      <w:rFonts w:eastAsia="Calibri" w:cs="Times New Roman"/>
      <w:iCs/>
      <w:spacing w:val="1"/>
      <w:sz w:val="24"/>
      <w:szCs w:val="24"/>
      <w:highlight w:val="red"/>
      <w:lang w:val="en-US"/>
    </w:rPr>
  </w:style>
  <w:style w:type="character" w:styleId="ListLabel16">
    <w:name w:val="ListLabel 16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17">
    <w:name w:val="ListLabel 17"/>
    <w:qFormat/>
    <w:rPr>
      <w:rFonts w:eastAsia="Times New Roman"/>
      <w:bCs/>
      <w:i/>
      <w:iCs/>
      <w:highlight w:val="cyan"/>
      <w:lang w:eastAsia="ru-RU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Style14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numbering" w:styleId="WW8Num30">
    <w:name w:val="WW8Num30"/>
    <w:qFormat/>
  </w:style>
  <w:style w:type="numbering" w:styleId="WW8Num4">
    <w:name w:val="WW8Num4"/>
    <w:qFormat/>
  </w:style>
  <w:style w:type="numbering" w:styleId="WW8Num2">
    <w:name w:val="WW8Num2"/>
    <w:qFormat/>
  </w:style>
  <w:style w:type="numbering" w:styleId="WW8Num14">
    <w:name w:val="WW8Num1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ciencedirect.com/science/article/pii/S0040403915001288" TargetMode="External"/><Relationship Id="rId3" Type="http://schemas.openxmlformats.org/officeDocument/2006/relationships/hyperlink" Target="http://www.sciencedirect.com/science/article/pii/S0040403915001288" TargetMode="External"/><Relationship Id="rId4" Type="http://schemas.openxmlformats.org/officeDocument/2006/relationships/hyperlink" Target="http://www.sciencedirect.com/science/article/pii/S0040403915001288" TargetMode="External"/><Relationship Id="rId5" Type="http://schemas.openxmlformats.org/officeDocument/2006/relationships/hyperlink" Target="http://www.sciencedirect.com/science/article/pii/S0040403915001288" TargetMode="External"/><Relationship Id="rId6" Type="http://schemas.openxmlformats.org/officeDocument/2006/relationships/hyperlink" Target="http://www.sciencedirect.com/science/article/pii/S0040403915001288" TargetMode="External"/><Relationship Id="rId7" Type="http://schemas.openxmlformats.org/officeDocument/2006/relationships/hyperlink" Target="http://www.sciencedirect.com/science/article/pii/S0040403915001288" TargetMode="External"/><Relationship Id="rId8" Type="http://schemas.openxmlformats.org/officeDocument/2006/relationships/hyperlink" Target="http://www.sciencedirect.com/science/article/pii/S0040403915001288" TargetMode="External"/><Relationship Id="rId9" Type="http://schemas.openxmlformats.org/officeDocument/2006/relationships/hyperlink" Target="http://www.sciencedirect.com/science/article/pii/S0040403915001288" TargetMode="External"/><Relationship Id="rId10" Type="http://schemas.openxmlformats.org/officeDocument/2006/relationships/hyperlink" Target="http://www.sciencedirect.com/science/article/pii/S0040403915001288" TargetMode="External"/><Relationship Id="rId11" Type="http://schemas.openxmlformats.org/officeDocument/2006/relationships/hyperlink" Target="http://www.sciencedirect.com/science/article/pii/S0040403915001288" TargetMode="External"/><Relationship Id="rId12" Type="http://schemas.openxmlformats.org/officeDocument/2006/relationships/hyperlink" Target="http://www.sciencedirect.com/science/article/pii/S0040403915001288" TargetMode="External"/><Relationship Id="rId13" Type="http://schemas.openxmlformats.org/officeDocument/2006/relationships/hyperlink" Target="http://www.sciencedirect.com/science/article/pii/S0040403915001288" TargetMode="External"/><Relationship Id="rId14" Type="http://schemas.openxmlformats.org/officeDocument/2006/relationships/hyperlink" Target="http://www.sciencedirect.com/science/article/pii/S0040403915001288" TargetMode="Externa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LibreOffice/5.1.4.2$Linux_X86_64 LibreOffice_project/10m0$Build-2</Application>
  <Pages>2</Pages>
  <Words>387</Words>
  <Characters>2476</Characters>
  <CharactersWithSpaces>2850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2017-05-02T13:26:34Z</dcterms:created>
  <dc:creator/>
  <dc:description/>
  <dc:language>en-US</dc:language>
  <cp:lastModifiedBy/>
  <dcterms:modified xsi:type="dcterms:W3CDTF">2017-05-18T11:40:49Z</dcterms:modified>
  <cp:revision>10</cp:revision>
  <dc:subject/>
  <dc:title/>
</cp:coreProperties>
</file>