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b w:val="false"/>
          <w:b w:val="false"/>
          <w:bCs w:val="false"/>
          <w:color w:val="000000"/>
          <w:u w:val="none"/>
        </w:rPr>
      </w:pPr>
      <w:r>
        <w:rPr>
          <w:b w:val="false"/>
          <w:bCs w:val="false"/>
          <w:color w:val="000000"/>
          <w:szCs w:val="24"/>
          <w:u w:val="none"/>
        </w:rPr>
        <w:t>2016</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Style14"/>
        <w:widowControl w:val="false"/>
        <w:numPr>
          <w:ilvl w:val="0"/>
          <w:numId w:val="1"/>
        </w:numPr>
        <w:spacing w:lineRule="auto" w:line="240" w:before="0" w:after="120"/>
        <w:contextualSpacing/>
        <w:rPr>
          <w:b w:val="false"/>
          <w:b w:val="false"/>
          <w:bCs w:val="false"/>
          <w:color w:val="000000"/>
          <w:u w:val="none"/>
        </w:rPr>
      </w:pPr>
      <w:r>
        <w:rPr>
          <w:rFonts w:cs="Times New Roman" w:ascii="Times New Roman" w:hAnsi="Times New Roman"/>
          <w:b w:val="false"/>
          <w:bCs w:val="false"/>
          <w:color w:val="000000"/>
          <w:spacing w:val="1"/>
          <w:sz w:val="24"/>
          <w:szCs w:val="24"/>
          <w:u w:val="none"/>
          <w:lang w:val="en-US"/>
        </w:rPr>
        <w:t xml:space="preserve">Complexation of Donor-Acceptor Substituted Aza-Crowns with Alkali and Alkaline Earth Metal Cations. Charge Transfer and Recoordination in Excited Complexes / V. V. Volchkov, F. E. Gostev, I. V. Shelaev, V. A. Nadtochenko, S. N. Dmitrieva, S. P. Gromov, M. V. Alfimov, M. Ya. Melnikov // J. Fluorescence. </w:t>
      </w:r>
      <w:bookmarkStart w:id="0" w:name="OLE_LINK112"/>
      <w:bookmarkStart w:id="1" w:name="OLE_LINK111"/>
      <w:bookmarkStart w:id="2" w:name="OLE_LINK110"/>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 xml:space="preserve"> 2016. </w:t>
      </w:r>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 xml:space="preserve"> V. 26. </w:t>
      </w:r>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 xml:space="preserve"> I</w:t>
      </w:r>
      <w:r>
        <w:rPr>
          <w:rFonts w:cs="Times New Roman" w:ascii="Times New Roman" w:hAnsi="Times New Roman"/>
          <w:b w:val="false"/>
          <w:bCs w:val="false"/>
          <w:color w:val="000000"/>
          <w:spacing w:val="-1"/>
          <w:sz w:val="24"/>
          <w:szCs w:val="24"/>
          <w:u w:val="none"/>
          <w:lang w:val="en-US"/>
        </w:rPr>
        <w:t>ssu</w:t>
      </w:r>
      <w:r>
        <w:rPr>
          <w:rFonts w:cs="Times New Roman" w:ascii="Times New Roman" w:hAnsi="Times New Roman"/>
          <w:b w:val="false"/>
          <w:bCs w:val="false"/>
          <w:color w:val="000000"/>
          <w:sz w:val="24"/>
          <w:szCs w:val="24"/>
          <w:u w:val="none"/>
          <w:lang w:val="en-US"/>
        </w:rPr>
        <w:t>e</w:t>
      </w:r>
      <w:r>
        <w:rPr>
          <w:rFonts w:cs="Times New Roman" w:ascii="Times New Roman" w:hAnsi="Times New Roman"/>
          <w:b w:val="false"/>
          <w:bCs w:val="false"/>
          <w:color w:val="000000"/>
          <w:spacing w:val="1"/>
          <w:sz w:val="24"/>
          <w:szCs w:val="24"/>
          <w:u w:val="none"/>
          <w:lang w:val="en-US"/>
        </w:rPr>
        <w:t xml:space="preserve"> 2. - P. 585</w:t>
      </w:r>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592.</w:t>
      </w:r>
      <w:bookmarkEnd w:id="0"/>
      <w:bookmarkEnd w:id="1"/>
      <w:bookmarkEnd w:id="2"/>
      <w:r>
        <w:rPr>
          <w:rFonts w:cs="Times New Roman" w:ascii="Times New Roman" w:hAnsi="Times New Roman"/>
          <w:b w:val="false"/>
          <w:bCs w:val="false"/>
          <w:color w:val="000000"/>
          <w:spacing w:val="1"/>
          <w:sz w:val="24"/>
          <w:szCs w:val="24"/>
          <w:u w:val="none"/>
          <w:lang w:val="en-US"/>
        </w:rPr>
        <w:t xml:space="preserve">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u w:val="none"/>
          <w:lang w:val="en-US"/>
        </w:rPr>
      </w:pPr>
      <w:r>
        <w:rPr>
          <w:rFonts w:cs="Times New Roman" w:ascii="Times New Roman" w:hAnsi="Times New Roman"/>
          <w:b w:val="false"/>
          <w:bCs w:val="false"/>
          <w:color w:val="000000"/>
          <w:spacing w:val="1"/>
          <w:sz w:val="24"/>
          <w:szCs w:val="24"/>
          <w:u w:val="none"/>
          <w:lang w:val="en-US"/>
        </w:rPr>
      </w:r>
    </w:p>
    <w:p>
      <w:pPr>
        <w:pStyle w:val="Normal"/>
        <w:widowControl w:val="false"/>
        <w:numPr>
          <w:ilvl w:val="0"/>
          <w:numId w:val="1"/>
        </w:numPr>
        <w:spacing w:lineRule="auto" w:line="240" w:before="0" w:after="120"/>
        <w:contextualSpacing/>
        <w:rPr>
          <w:b w:val="false"/>
          <w:b w:val="false"/>
          <w:bCs w:val="false"/>
          <w:color w:val="000000"/>
          <w:u w:val="none"/>
        </w:rPr>
      </w:pPr>
      <w:bookmarkStart w:id="3" w:name="OLE_LINK6"/>
      <w:r>
        <w:rPr>
          <w:rFonts w:cs="Times New Roman" w:ascii="Times New Roman" w:hAnsi="Times New Roman"/>
          <w:b w:val="false"/>
          <w:bCs w:val="false"/>
          <w:color w:val="000000"/>
          <w:spacing w:val="1"/>
          <w:sz w:val="24"/>
          <w:szCs w:val="24"/>
          <w:u w:val="none"/>
          <w:lang w:val="en-US"/>
        </w:rPr>
        <w:t>Supramolecular Dimerization and [2+2] Photocycloaddition Reactions of the Crown Ether Styryl Dyes Containing a Tethered Ammonium Group: Structure – Property Relationships</w:t>
      </w:r>
      <w:bookmarkEnd w:id="3"/>
      <w:r>
        <w:rPr>
          <w:rFonts w:cs="Times New Roman" w:ascii="Times New Roman" w:hAnsi="Times New Roman"/>
          <w:b w:val="false"/>
          <w:bCs w:val="false"/>
          <w:color w:val="000000"/>
          <w:spacing w:val="1"/>
          <w:sz w:val="24"/>
          <w:szCs w:val="24"/>
          <w:u w:val="none"/>
          <w:lang w:val="en-US"/>
        </w:rPr>
        <w:t xml:space="preserve"> / E. N. Ushakov, A. I. Vedernikov, N. A. Lobova, S. N. Dmitrieva, L. G. Kuz’mina, A. A. Moiseeva, J. A. K. Howard, M. V. Alfimov, S. P. Gromov // J. Phys. Chem. A. </w:t>
      </w:r>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 xml:space="preserve"> 2015. </w:t>
      </w:r>
      <w:r>
        <w:rPr>
          <w:rFonts w:cs="Times New Roman" w:ascii="Times New Roman" w:hAnsi="Times New Roman"/>
          <w:b w:val="false"/>
          <w:bCs w:val="false"/>
          <w:color w:val="000000"/>
          <w:sz w:val="24"/>
          <w:szCs w:val="24"/>
          <w:u w:val="none"/>
          <w:lang w:val="en-US"/>
        </w:rPr>
        <w:t xml:space="preserve">— </w:t>
      </w:r>
      <w:r>
        <w:rPr>
          <w:rFonts w:cs="Times New Roman" w:ascii="Times New Roman" w:hAnsi="Times New Roman"/>
          <w:b w:val="false"/>
          <w:bCs w:val="false"/>
          <w:color w:val="000000"/>
          <w:spacing w:val="1"/>
          <w:sz w:val="24"/>
          <w:szCs w:val="24"/>
          <w:u w:val="none"/>
          <w:lang w:val="en-US"/>
        </w:rPr>
        <w:t xml:space="preserve">V. 119. </w:t>
      </w:r>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 xml:space="preserve"> I</w:t>
      </w:r>
      <w:r>
        <w:rPr>
          <w:rFonts w:cs="Times New Roman" w:ascii="Times New Roman" w:hAnsi="Times New Roman"/>
          <w:b w:val="false"/>
          <w:bCs w:val="false"/>
          <w:color w:val="000000"/>
          <w:spacing w:val="-1"/>
          <w:sz w:val="24"/>
          <w:szCs w:val="24"/>
          <w:u w:val="none"/>
          <w:lang w:val="en-US"/>
        </w:rPr>
        <w:t>ssu</w:t>
      </w:r>
      <w:r>
        <w:rPr>
          <w:rFonts w:cs="Times New Roman" w:ascii="Times New Roman" w:hAnsi="Times New Roman"/>
          <w:b w:val="false"/>
          <w:bCs w:val="false"/>
          <w:color w:val="000000"/>
          <w:sz w:val="24"/>
          <w:szCs w:val="24"/>
          <w:u w:val="none"/>
          <w:lang w:val="en-US"/>
        </w:rPr>
        <w:t>e</w:t>
      </w:r>
      <w:r>
        <w:rPr>
          <w:rFonts w:cs="Times New Roman" w:ascii="Times New Roman" w:hAnsi="Times New Roman"/>
          <w:b w:val="false"/>
          <w:bCs w:val="false"/>
          <w:color w:val="000000"/>
          <w:spacing w:val="1"/>
          <w:sz w:val="24"/>
          <w:szCs w:val="24"/>
          <w:u w:val="none"/>
          <w:lang w:val="en-US"/>
        </w:rPr>
        <w:t xml:space="preserve"> 52 </w:t>
      </w:r>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 xml:space="preserve"> P. 13025</w:t>
      </w:r>
      <w:r>
        <w:rPr>
          <w:rFonts w:cs="Times New Roman" w:ascii="Times New Roman" w:hAnsi="Times New Roman"/>
          <w:b w:val="false"/>
          <w:bCs w:val="false"/>
          <w:color w:val="000000"/>
          <w:sz w:val="24"/>
          <w:szCs w:val="24"/>
          <w:u w:val="none"/>
          <w:lang w:val="en-US"/>
        </w:rPr>
        <w:t>—</w:t>
      </w:r>
      <w:r>
        <w:rPr>
          <w:rFonts w:cs="Times New Roman" w:ascii="Times New Roman" w:hAnsi="Times New Roman"/>
          <w:b w:val="false"/>
          <w:bCs w:val="false"/>
          <w:color w:val="000000"/>
          <w:spacing w:val="1"/>
          <w:sz w:val="24"/>
          <w:szCs w:val="24"/>
          <w:u w:val="none"/>
          <w:lang w:val="en-US"/>
        </w:rPr>
        <w:t xml:space="preserve">13037. </w:t>
      </w:r>
      <w:r>
        <w:rPr>
          <w:rFonts w:cs="Times New Roman" w:ascii="Times New Roman" w:hAnsi="Times New Roman"/>
          <w:b w:val="false"/>
          <w:bCs w:val="false"/>
          <w:color w:val="000000"/>
          <w:spacing w:val="1"/>
          <w:sz w:val="24"/>
          <w:szCs w:val="24"/>
          <w:u w:val="none"/>
        </w:rPr>
        <w:t>Не вошла в 2015г.</w:t>
      </w:r>
    </w:p>
    <w:p>
      <w:pPr>
        <w:pStyle w:val="Style14"/>
        <w:widowControl w:val="false"/>
        <w:numPr>
          <w:ilvl w:val="0"/>
          <w:numId w:val="0"/>
        </w:numPr>
        <w:spacing w:lineRule="auto" w:line="240" w:before="0" w:after="120"/>
        <w:ind w:left="1440" w:hanging="0"/>
        <w:contextualSpacing/>
        <w:rPr>
          <w:b w:val="false"/>
          <w:b w:val="false"/>
          <w:bCs w:val="false"/>
          <w:color w:val="000000"/>
          <w:szCs w:val="24"/>
          <w:u w:val="none"/>
        </w:rPr>
      </w:pPr>
      <w:r>
        <w:rPr>
          <w:b w:val="false"/>
          <w:bCs w:val="false"/>
          <w:color w:val="000000"/>
          <w:szCs w:val="24"/>
          <w:u w:val="none"/>
        </w:rPr>
      </w:r>
    </w:p>
    <w:p>
      <w:pPr>
        <w:pStyle w:val="Normal"/>
        <w:numPr>
          <w:ilvl w:val="0"/>
          <w:numId w:val="0"/>
        </w:numPr>
        <w:spacing w:lineRule="auto" w:line="240"/>
        <w:ind w:left="720" w:hanging="0"/>
        <w:rPr>
          <w:b w:val="false"/>
          <w:b w:val="false"/>
          <w:bCs w:val="false"/>
          <w:color w:val="000000"/>
          <w:u w:val="none"/>
        </w:rPr>
      </w:pPr>
      <w:r>
        <w:rPr>
          <w:b w:val="false"/>
          <w:bCs w:val="false"/>
          <w:color w:val="000000"/>
          <w:szCs w:val="24"/>
          <w:u w:val="none"/>
        </w:rPr>
        <w:t>2015</w:t>
      </w:r>
    </w:p>
    <w:p>
      <w:pPr>
        <w:pStyle w:val="Normal"/>
        <w:spacing w:lineRule="auto" w:line="24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jc w:val="both"/>
        <w:rPr>
          <w:b w:val="false"/>
          <w:b w:val="false"/>
          <w:bCs w:val="false"/>
          <w:color w:val="000000"/>
          <w:u w:val="none"/>
        </w:rPr>
      </w:pPr>
      <w:r>
        <w:rPr>
          <w:rFonts w:eastAsia="Calibri" w:cs="Times New Roman"/>
          <w:b w:val="false"/>
          <w:bCs w:val="false"/>
          <w:color w:val="000000"/>
          <w:szCs w:val="24"/>
          <w:u w:val="none"/>
        </w:rPr>
        <w:t xml:space="preserve">Дмитриева С. Н., Ведерников А. И., Ушаков Е. Н., Кузьмина Л. Г., Громов С. П. “Синтез бензоазакраун-эфиров трансформацией макроцикла бензокраун-эфиров и создание комплексообразователей на их основе.” // </w:t>
      </w:r>
      <w:r>
        <w:rPr>
          <w:rFonts w:eastAsia="Calibri" w:cs="Times New Roman"/>
          <w:b w:val="false"/>
          <w:bCs w:val="false"/>
          <w:i/>
          <w:color w:val="000000"/>
          <w:szCs w:val="24"/>
          <w:u w:val="none"/>
        </w:rPr>
        <w:t xml:space="preserve">Изв. РАН, </w:t>
      </w:r>
      <w:r>
        <w:rPr>
          <w:rFonts w:eastAsia="Calibri" w:cs="Times New Roman"/>
          <w:b w:val="false"/>
          <w:bCs w:val="false"/>
          <w:i/>
          <w:color w:val="000000"/>
          <w:szCs w:val="24"/>
          <w:u w:val="none"/>
          <w:lang w:val="en-US"/>
        </w:rPr>
        <w:t>C</w:t>
      </w:r>
      <w:r>
        <w:rPr>
          <w:rFonts w:eastAsia="Calibri" w:cs="Times New Roman"/>
          <w:b w:val="false"/>
          <w:bCs w:val="false"/>
          <w:i/>
          <w:color w:val="000000"/>
          <w:szCs w:val="24"/>
          <w:u w:val="none"/>
        </w:rPr>
        <w:t>ер. хим</w:t>
      </w:r>
      <w:r>
        <w:rPr>
          <w:rFonts w:eastAsia="Calibri" w:cs="Times New Roman"/>
          <w:b w:val="false"/>
          <w:bCs w:val="false"/>
          <w:color w:val="000000"/>
          <w:szCs w:val="24"/>
          <w:u w:val="none"/>
        </w:rPr>
        <w:t>. - 2015. - № 8. – С. 1726-1745.</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0"/>
        </w:numPr>
        <w:spacing w:lineRule="auto" w:line="240"/>
        <w:ind w:left="720" w:hanging="0"/>
        <w:rPr>
          <w:b w:val="false"/>
          <w:b w:val="false"/>
          <w:bCs w:val="false"/>
          <w:color w:val="000000"/>
          <w:u w:val="none"/>
        </w:rPr>
      </w:pPr>
      <w:r>
        <w:rPr>
          <w:b w:val="false"/>
          <w:bCs w:val="false"/>
          <w:color w:val="000000"/>
          <w:szCs w:val="24"/>
          <w:u w:val="none"/>
        </w:rPr>
        <w:t>2014</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widowControl w:val="false"/>
        <w:numPr>
          <w:ilvl w:val="0"/>
          <w:numId w:val="1"/>
        </w:numPr>
        <w:spacing w:lineRule="auto" w:line="240" w:before="0" w:after="0"/>
        <w:contextualSpacing/>
        <w:jc w:val="both"/>
        <w:rPr>
          <w:b w:val="false"/>
          <w:b w:val="false"/>
          <w:bCs w:val="false"/>
          <w:color w:val="000000"/>
          <w:u w:val="none"/>
        </w:rPr>
      </w:pPr>
      <w:r>
        <w:rPr>
          <w:b w:val="false"/>
          <w:bCs w:val="false"/>
          <w:color w:val="000000"/>
          <w:szCs w:val="24"/>
          <w:u w:val="none"/>
          <w:lang w:val="en-US"/>
        </w:rPr>
        <w:t xml:space="preserve">Gromov S. P., Vedernikov A. I., Lobova N. A., Kuz’mina L. G., Dmitrieva S. N., Strelenko Yu. A., Howard J. A. K. “Synthesis, Structure, and Properties of Supramolecular Photoswitches Based on Ammonioalkyl Derivatives of Crown-Ether Styryl Dyes” // </w:t>
      </w:r>
      <w:r>
        <w:rPr>
          <w:b w:val="false"/>
          <w:bCs w:val="false"/>
          <w:i/>
          <w:color w:val="000000"/>
          <w:szCs w:val="24"/>
          <w:u w:val="none"/>
          <w:lang w:val="en-US"/>
        </w:rPr>
        <w:t>J. Org. Chem.</w:t>
      </w:r>
      <w:r>
        <w:rPr>
          <w:b w:val="false"/>
          <w:bCs w:val="false"/>
          <w:color w:val="000000"/>
          <w:szCs w:val="24"/>
          <w:u w:val="none"/>
          <w:lang w:val="en-US"/>
        </w:rPr>
        <w:t xml:space="preserve"> – 2014. – V. 79. – </w:t>
      </w:r>
      <w:bookmarkStart w:id="4" w:name="OLE_LINK129"/>
      <w:bookmarkStart w:id="5" w:name="OLE_LINK128"/>
      <w:bookmarkStart w:id="6" w:name="OLE_LINK127"/>
      <w:r>
        <w:rPr>
          <w:b w:val="false"/>
          <w:bCs w:val="false"/>
          <w:color w:val="000000"/>
          <w:szCs w:val="24"/>
          <w:u w:val="none"/>
          <w:lang w:val="en-US"/>
        </w:rPr>
        <w:t>No. 23. - P. 11416−11430</w:t>
      </w:r>
      <w:bookmarkEnd w:id="4"/>
      <w:bookmarkEnd w:id="5"/>
      <w:bookmarkEnd w:id="6"/>
      <w:r>
        <w:rPr>
          <w:b w:val="false"/>
          <w:bCs w:val="false"/>
          <w:color w:val="000000"/>
          <w:szCs w:val="24"/>
          <w:u w:val="none"/>
          <w:lang w:val="en-US"/>
        </w:rPr>
        <w:t>.</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0"/>
        </w:numPr>
        <w:spacing w:lineRule="auto" w:line="240"/>
        <w:ind w:left="720" w:hanging="0"/>
        <w:rPr>
          <w:b w:val="false"/>
          <w:b w:val="false"/>
          <w:bCs w:val="false"/>
          <w:color w:val="000000"/>
          <w:u w:val="none"/>
        </w:rPr>
      </w:pPr>
      <w:r>
        <w:rPr>
          <w:b w:val="false"/>
          <w:bCs w:val="false"/>
          <w:color w:val="000000"/>
          <w:szCs w:val="24"/>
          <w:u w:val="none"/>
        </w:rPr>
        <w:t>2013</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widowControl w:val="false"/>
        <w:numPr>
          <w:ilvl w:val="0"/>
          <w:numId w:val="1"/>
        </w:numPr>
        <w:spacing w:lineRule="auto" w:line="240" w:before="0" w:after="0"/>
        <w:contextualSpacing/>
        <w:jc w:val="both"/>
        <w:rPr>
          <w:b w:val="false"/>
          <w:b w:val="false"/>
          <w:bCs w:val="false"/>
          <w:color w:val="000000"/>
          <w:u w:val="none"/>
        </w:rPr>
      </w:pPr>
      <w:r>
        <w:rPr>
          <w:b w:val="false"/>
          <w:bCs w:val="false"/>
          <w:color w:val="000000"/>
          <w:szCs w:val="24"/>
          <w:u w:val="none"/>
          <w:lang w:val="en-US"/>
        </w:rPr>
        <w:t xml:space="preserve">Gromov S. P., Dmitrieva S. N., Vedernikov A. I., Kurchavov N. A., Kuz’mina L. G., Sazonov S. K., Strelenko Yu. A., Alfimov M. V., Howard J. A. K., Ushakov E. N. “Synthesis, Structure, and Characterization of Chromo(fluoro)ionophores with Cation-triggered Emission based on N methylazacrown-ether Styryl Dyes.” // </w:t>
      </w:r>
      <w:r>
        <w:rPr>
          <w:b w:val="false"/>
          <w:bCs w:val="false"/>
          <w:i/>
          <w:color w:val="000000"/>
          <w:szCs w:val="24"/>
          <w:u w:val="none"/>
          <w:lang w:val="en-US"/>
        </w:rPr>
        <w:t xml:space="preserve">J. Org. </w:t>
      </w:r>
      <w:r>
        <w:rPr>
          <w:b w:val="false"/>
          <w:bCs w:val="false"/>
          <w:i/>
          <w:color w:val="000000"/>
          <w:szCs w:val="24"/>
          <w:u w:val="none"/>
        </w:rPr>
        <w:t>Chem.</w:t>
      </w:r>
      <w:r>
        <w:rPr>
          <w:b w:val="false"/>
          <w:bCs w:val="false"/>
          <w:color w:val="000000"/>
          <w:szCs w:val="24"/>
          <w:u w:val="none"/>
        </w:rPr>
        <w:t xml:space="preserve"> - 2013. - V. 78. - P. 9834−9847.</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0"/>
        </w:numPr>
        <w:spacing w:lineRule="auto" w:line="240"/>
        <w:ind w:left="720" w:hanging="0"/>
        <w:rPr>
          <w:b w:val="false"/>
          <w:b w:val="false"/>
          <w:bCs w:val="false"/>
          <w:color w:val="000000"/>
          <w:u w:val="none"/>
        </w:rPr>
      </w:pPr>
      <w:r>
        <w:rPr>
          <w:b w:val="false"/>
          <w:bCs w:val="false"/>
          <w:color w:val="000000"/>
          <w:szCs w:val="24"/>
          <w:u w:val="none"/>
        </w:rPr>
        <w:t>2011</w:t>
      </w:r>
    </w:p>
    <w:p>
      <w:pPr>
        <w:pStyle w:val="Normal"/>
        <w:numPr>
          <w:ilvl w:val="0"/>
          <w:numId w:val="1"/>
        </w:numPr>
        <w:spacing w:lineRule="auto" w:line="240"/>
        <w:jc w:val="both"/>
        <w:rPr>
          <w:b w:val="false"/>
          <w:b w:val="false"/>
          <w:bCs w:val="false"/>
          <w:color w:val="000000"/>
          <w:u w:val="none"/>
        </w:rPr>
      </w:pPr>
      <w:r>
        <w:rPr>
          <w:b w:val="false"/>
          <w:bCs w:val="false"/>
          <w:color w:val="000000"/>
          <w:szCs w:val="24"/>
          <w:u w:val="none"/>
        </w:rPr>
        <w:t>С.Н. Дмитриева, М.В. Чуракова, Н.А. Курчавов, А.И. Ведерников, А.Я. Фрейдзон, А.А. Багатурьянц, С.П. Громов</w:t>
      </w:r>
      <w:r>
        <w:rPr>
          <w:rFonts w:cs="Calibri" w:ascii="Calibri" w:hAnsi="Calibri"/>
          <w:b w:val="false"/>
          <w:bCs w:val="false"/>
          <w:color w:val="000000"/>
          <w:szCs w:val="24"/>
          <w:u w:val="none"/>
        </w:rPr>
        <w:t xml:space="preserve">, </w:t>
      </w:r>
      <w:r>
        <w:rPr>
          <w:b w:val="false"/>
          <w:bCs w:val="false"/>
          <w:color w:val="000000"/>
          <w:szCs w:val="24"/>
          <w:u w:val="none"/>
        </w:rPr>
        <w:t>Нитропроизводные N-алкилбензоаза-18-краун-6-эфиров: синтез и комплексообразующие свойства</w:t>
      </w:r>
      <w:r>
        <w:rPr>
          <w:rFonts w:cs="Calibri" w:ascii="Calibri" w:hAnsi="Calibri"/>
          <w:b w:val="false"/>
          <w:bCs w:val="false"/>
          <w:color w:val="000000"/>
          <w:szCs w:val="24"/>
          <w:u w:val="none"/>
        </w:rPr>
        <w:t>,</w:t>
      </w:r>
      <w:r>
        <w:rPr>
          <w:b w:val="false"/>
          <w:bCs w:val="false"/>
          <w:color w:val="000000"/>
          <w:szCs w:val="24"/>
          <w:u w:val="none"/>
        </w:rPr>
        <w:t xml:space="preserve"> Журн. орг. химии, 2011, </w:t>
      </w:r>
      <w:r>
        <w:rPr>
          <w:b w:val="false"/>
          <w:bCs w:val="false"/>
          <w:color w:val="000000"/>
          <w:szCs w:val="24"/>
          <w:u w:val="none"/>
          <w:lang w:val="en-US"/>
        </w:rPr>
        <w:t>T</w:t>
      </w:r>
      <w:r>
        <w:rPr>
          <w:b w:val="false"/>
          <w:bCs w:val="false"/>
          <w:color w:val="000000"/>
          <w:szCs w:val="24"/>
          <w:u w:val="none"/>
        </w:rPr>
        <w:t xml:space="preserve">. 47, № 7, С. </w:t>
      </w:r>
      <w:r>
        <w:rPr>
          <w:rFonts w:cs="Calibri" w:ascii="Calibri" w:hAnsi="Calibri"/>
          <w:b w:val="false"/>
          <w:bCs w:val="false"/>
          <w:color w:val="000000"/>
          <w:szCs w:val="24"/>
          <w:u w:val="none"/>
        </w:rPr>
        <w:t>1081–1094.</w:t>
      </w:r>
    </w:p>
    <w:p>
      <w:pPr>
        <w:pStyle w:val="Normal"/>
        <w:numPr>
          <w:ilvl w:val="0"/>
          <w:numId w:val="1"/>
        </w:numPr>
        <w:spacing w:lineRule="auto" w:line="240"/>
        <w:jc w:val="both"/>
        <w:rPr>
          <w:b w:val="false"/>
          <w:b w:val="false"/>
          <w:bCs w:val="false"/>
          <w:color w:val="000000"/>
          <w:u w:val="none"/>
        </w:rPr>
      </w:pPr>
      <w:r>
        <w:rPr>
          <w:rFonts w:cs="Calibri" w:ascii="Calibri" w:hAnsi="Calibri"/>
          <w:b w:val="false"/>
          <w:bCs w:val="false"/>
          <w:color w:val="000000"/>
          <w:szCs w:val="24"/>
          <w:u w:val="none"/>
        </w:rPr>
        <w:t xml:space="preserve">Громов С. П., Дмитриева С. Н., Зайцев И. С., Зайцев С. Ю., Тимонин А. Н., Царькова М. С. “Пленки на основе желатина с включенными краун-эфирами для детекции катионов кальция.” // </w:t>
      </w:r>
      <w:r>
        <w:rPr>
          <w:rFonts w:cs="Calibri" w:ascii="Calibri" w:hAnsi="Calibri"/>
          <w:b w:val="false"/>
          <w:bCs w:val="false"/>
          <w:i/>
          <w:color w:val="000000"/>
          <w:szCs w:val="24"/>
          <w:u w:val="none"/>
        </w:rPr>
        <w:t>Изв. вузов. Химия и хим. технология</w:t>
      </w:r>
      <w:r>
        <w:rPr>
          <w:rFonts w:cs="Calibri" w:ascii="Calibri" w:hAnsi="Calibri"/>
          <w:b w:val="false"/>
          <w:bCs w:val="false"/>
          <w:color w:val="000000"/>
          <w:szCs w:val="24"/>
          <w:u w:val="none"/>
        </w:rPr>
        <w:t>. – 2011. – Т. 54. - № 8. – С. 29-32.</w:t>
      </w:r>
    </w:p>
    <w:p>
      <w:pPr>
        <w:pStyle w:val="Normal"/>
        <w:numPr>
          <w:ilvl w:val="0"/>
          <w:numId w:val="1"/>
        </w:numPr>
        <w:spacing w:lineRule="auto" w:line="240"/>
        <w:jc w:val="both"/>
        <w:rPr>
          <w:b w:val="false"/>
          <w:b w:val="false"/>
          <w:bCs w:val="false"/>
          <w:color w:val="000000"/>
          <w:u w:val="none"/>
        </w:rPr>
      </w:pPr>
      <w:r>
        <w:rPr>
          <w:rFonts w:cs="Calibri" w:ascii="Calibri" w:hAnsi="Calibri"/>
          <w:b w:val="false"/>
          <w:bCs w:val="false"/>
          <w:color w:val="000000"/>
          <w:szCs w:val="24"/>
          <w:u w:val="none"/>
        </w:rPr>
        <w:t>Дмитриева С. Н., Чуракова М. В., Курчавов Н. А., Ведерников А. И., Фрейдзон А. Я., Басок С. С., Багатурьянц А. А., Стреленко Ю. А., Громов С. П. “Синтез и комплексы</w:t>
      </w:r>
      <w:r>
        <w:rPr>
          <w:rFonts w:cs="Calibri" w:ascii="Calibri" w:hAnsi="Calibri"/>
          <w:b w:val="false"/>
          <w:bCs w:val="false"/>
          <w:color w:val="000000"/>
          <w:sz w:val="28"/>
          <w:szCs w:val="24"/>
          <w:u w:val="none"/>
        </w:rPr>
        <w:t xml:space="preserve"> </w:t>
      </w:r>
      <w:r>
        <w:rPr>
          <w:rFonts w:cs="Calibri" w:ascii="Calibri" w:hAnsi="Calibri"/>
          <w:b w:val="false"/>
          <w:bCs w:val="false"/>
          <w:color w:val="000000"/>
          <w:szCs w:val="24"/>
          <w:u w:val="none"/>
        </w:rPr>
        <w:t xml:space="preserve">“гость-хозяин” нитропроизводных </w:t>
      </w:r>
      <w:r>
        <w:rPr>
          <w:rFonts w:cs="Calibri" w:ascii="Calibri" w:hAnsi="Calibri"/>
          <w:b w:val="false"/>
          <w:bCs w:val="false"/>
          <w:i/>
          <w:color w:val="000000"/>
          <w:szCs w:val="24"/>
          <w:u w:val="none"/>
        </w:rPr>
        <w:t>N</w:t>
      </w:r>
      <w:r>
        <w:rPr>
          <w:rFonts w:cs="Calibri" w:ascii="Calibri" w:hAnsi="Calibri"/>
          <w:b w:val="false"/>
          <w:bCs w:val="false"/>
          <w:color w:val="000000"/>
          <w:szCs w:val="24"/>
          <w:u w:val="none"/>
        </w:rPr>
        <w:t xml:space="preserve">-алкилбензоаза-18-краун-6-эфиров.” // </w:t>
      </w:r>
      <w:r>
        <w:rPr>
          <w:rFonts w:cs="Calibri" w:ascii="Calibri" w:hAnsi="Calibri"/>
          <w:b w:val="false"/>
          <w:bCs w:val="false"/>
          <w:i/>
          <w:color w:val="000000"/>
          <w:szCs w:val="24"/>
          <w:u w:val="none"/>
        </w:rPr>
        <w:t>Журн. орган. хим</w:t>
      </w:r>
      <w:r>
        <w:rPr>
          <w:rFonts w:cs="Calibri" w:ascii="Calibri" w:hAnsi="Calibri"/>
          <w:b w:val="false"/>
          <w:bCs w:val="false"/>
          <w:color w:val="000000"/>
          <w:szCs w:val="24"/>
          <w:u w:val="none"/>
        </w:rPr>
        <w:t>. - 2011. - Т. 47. - №. 7. – С. 1081–1094.</w:t>
      </w:r>
    </w:p>
    <w:p>
      <w:pPr>
        <w:pStyle w:val="Normal"/>
        <w:numPr>
          <w:ilvl w:val="0"/>
          <w:numId w:val="1"/>
        </w:numPr>
        <w:spacing w:lineRule="auto" w:line="240"/>
        <w:jc w:val="both"/>
        <w:rPr>
          <w:b w:val="false"/>
          <w:b w:val="false"/>
          <w:bCs w:val="false"/>
          <w:color w:val="000000"/>
          <w:u w:val="none"/>
        </w:rPr>
      </w:pPr>
      <w:r>
        <w:rPr>
          <w:rFonts w:cs="Calibri" w:ascii="Calibri" w:hAnsi="Calibri"/>
          <w:b w:val="false"/>
          <w:bCs w:val="false"/>
          <w:color w:val="000000"/>
          <w:szCs w:val="24"/>
          <w:u w:val="none"/>
          <w:lang w:val="en-GB"/>
        </w:rPr>
        <w:t xml:space="preserve">Dmitrieva S. N., Churakova M. V., Vedernikov A. I., Gromov S. P. “New Approach to the Synthesis of Dibenzodiazacrown Compounds by Ring Transformation of Dibenzocrown Ether” // </w:t>
      </w:r>
      <w:r>
        <w:rPr>
          <w:rFonts w:cs="Calibri" w:ascii="Calibri" w:hAnsi="Calibri"/>
          <w:b w:val="false"/>
          <w:bCs w:val="false"/>
          <w:i/>
          <w:color w:val="000000"/>
          <w:szCs w:val="24"/>
          <w:u w:val="none"/>
          <w:lang w:val="en-GB"/>
        </w:rPr>
        <w:t>Tetrahedron</w:t>
      </w:r>
      <w:r>
        <w:rPr>
          <w:rFonts w:cs="Calibri" w:ascii="Calibri" w:hAnsi="Calibri"/>
          <w:b w:val="false"/>
          <w:bCs w:val="false"/>
          <w:color w:val="000000"/>
          <w:szCs w:val="24"/>
          <w:u w:val="none"/>
          <w:lang w:val="en-GB"/>
        </w:rPr>
        <w:t xml:space="preserve">. – 2011. – V. 67. – P. 2530-2535. </w:t>
      </w:r>
    </w:p>
    <w:p>
      <w:pPr>
        <w:pStyle w:val="Normal"/>
        <w:numPr>
          <w:ilvl w:val="0"/>
          <w:numId w:val="1"/>
        </w:numPr>
        <w:spacing w:lineRule="auto" w:line="240"/>
        <w:jc w:val="both"/>
        <w:rPr>
          <w:b w:val="false"/>
          <w:b w:val="false"/>
          <w:bCs w:val="false"/>
          <w:color w:val="000000"/>
          <w:u w:val="none"/>
        </w:rPr>
      </w:pPr>
      <w:r>
        <w:rPr>
          <w:rFonts w:cs="Calibri" w:ascii="Calibri" w:hAnsi="Calibri"/>
          <w:b w:val="false"/>
          <w:bCs w:val="false"/>
          <w:color w:val="000000"/>
          <w:szCs w:val="24"/>
          <w:u w:val="none"/>
          <w:lang w:val="en-GB"/>
        </w:rPr>
        <w:t xml:space="preserve">Dmitrieva S. N., Sidorenko N. I., Kurchavov N. A., Vedernikov A. I., Freidzon A. Ya., Kuz’mina L. G., Buryak A. K., Buslaeva T. M., Bagatur’yants A. A., Strelenko Y. A., Howard J. A. K., Gromov S. P. “Macrocyclic Complexes of Palladium(II) with Benzothiacrown Ethers: Synthesis, Characterization, and Structure of </w:t>
      </w:r>
      <w:r>
        <w:rPr>
          <w:rFonts w:cs="Calibri" w:ascii="Calibri" w:hAnsi="Calibri"/>
          <w:b w:val="false"/>
          <w:bCs w:val="false"/>
          <w:i/>
          <w:color w:val="000000"/>
          <w:szCs w:val="24"/>
          <w:u w:val="none"/>
          <w:lang w:val="en-GB"/>
        </w:rPr>
        <w:t>cis</w:t>
      </w:r>
      <w:r>
        <w:rPr>
          <w:rFonts w:cs="Calibri" w:ascii="Calibri" w:hAnsi="Calibri"/>
          <w:b w:val="false"/>
          <w:bCs w:val="false"/>
          <w:color w:val="000000"/>
          <w:szCs w:val="24"/>
          <w:u w:val="none"/>
          <w:lang w:val="en-GB"/>
        </w:rPr>
        <w:t xml:space="preserve"> and </w:t>
      </w:r>
      <w:r>
        <w:rPr>
          <w:rFonts w:cs="Calibri" w:ascii="Calibri" w:hAnsi="Calibri"/>
          <w:b w:val="false"/>
          <w:bCs w:val="false"/>
          <w:i/>
          <w:color w:val="000000"/>
          <w:szCs w:val="24"/>
          <w:u w:val="none"/>
          <w:lang w:val="en-GB"/>
        </w:rPr>
        <w:t>trans</w:t>
      </w:r>
      <w:r>
        <w:rPr>
          <w:rFonts w:cs="Calibri" w:ascii="Calibri" w:hAnsi="Calibri"/>
          <w:b w:val="false"/>
          <w:bCs w:val="false"/>
          <w:color w:val="000000"/>
          <w:szCs w:val="24"/>
          <w:u w:val="none"/>
          <w:lang w:val="en-GB"/>
        </w:rPr>
        <w:t xml:space="preserve"> Isomers.” // </w:t>
      </w:r>
      <w:r>
        <w:rPr>
          <w:rFonts w:cs="Calibri" w:ascii="Calibri" w:hAnsi="Calibri"/>
          <w:b w:val="false"/>
          <w:bCs w:val="false"/>
          <w:i/>
          <w:color w:val="000000"/>
          <w:szCs w:val="24"/>
          <w:u w:val="none"/>
          <w:lang w:val="en-GB"/>
        </w:rPr>
        <w:t>Inorg. Chem</w:t>
      </w:r>
      <w:r>
        <w:rPr>
          <w:rFonts w:cs="Calibri" w:ascii="Calibri" w:hAnsi="Calibri"/>
          <w:b w:val="false"/>
          <w:bCs w:val="false"/>
          <w:color w:val="000000"/>
          <w:szCs w:val="24"/>
          <w:u w:val="none"/>
          <w:lang w:val="en-GB"/>
        </w:rPr>
        <w:t xml:space="preserve">. – 2011. - V. 50 - No. 16. - P. 7500–7510. </w:t>
      </w:r>
    </w:p>
    <w:p>
      <w:pPr>
        <w:pStyle w:val="Normal"/>
        <w:numPr>
          <w:ilvl w:val="0"/>
          <w:numId w:val="0"/>
        </w:numPr>
        <w:spacing w:lineRule="auto" w:line="240"/>
        <w:ind w:left="720" w:hanging="0"/>
        <w:jc w:val="both"/>
        <w:rPr>
          <w:rFonts w:ascii="Calibri" w:hAnsi="Calibri" w:cs="Calibri"/>
          <w:szCs w:val="24"/>
          <w:lang w:val="en-GB"/>
        </w:rPr>
      </w:pPr>
      <w:r>
        <w:rPr>
          <w:b w:val="false"/>
          <w:bCs w:val="false"/>
          <w:color w:val="000000"/>
          <w:u w:val="none"/>
        </w:rPr>
      </w:r>
    </w:p>
    <w:p>
      <w:pPr>
        <w:pStyle w:val="Normal"/>
        <w:numPr>
          <w:ilvl w:val="0"/>
          <w:numId w:val="0"/>
        </w:numPr>
        <w:spacing w:lineRule="auto" w:line="240"/>
        <w:ind w:left="720" w:hanging="0"/>
        <w:rPr>
          <w:b w:val="false"/>
          <w:b w:val="false"/>
          <w:bCs w:val="false"/>
          <w:color w:val="000000"/>
          <w:u w:val="none"/>
        </w:rPr>
      </w:pPr>
      <w:r>
        <w:rPr>
          <w:b w:val="false"/>
          <w:bCs w:val="false"/>
          <w:color w:val="000000"/>
          <w:szCs w:val="24"/>
          <w:u w:val="none"/>
        </w:rPr>
        <w:t>2010</w:t>
      </w:r>
    </w:p>
    <w:p>
      <w:pPr>
        <w:pStyle w:val="Normal"/>
        <w:numPr>
          <w:ilvl w:val="0"/>
          <w:numId w:val="1"/>
        </w:numPr>
        <w:spacing w:lineRule="auto" w:line="240"/>
        <w:rPr>
          <w:b w:val="false"/>
          <w:b w:val="false"/>
          <w:bCs w:val="false"/>
          <w:color w:val="000000"/>
          <w:u w:val="none"/>
        </w:rPr>
      </w:pPr>
      <w:r>
        <w:rPr>
          <w:b w:val="false"/>
          <w:bCs w:val="false"/>
          <w:color w:val="000000"/>
          <w:szCs w:val="24"/>
          <w:u w:val="none"/>
        </w:rPr>
        <w:t xml:space="preserve">Дмитриева С. Н., Чуракова М. В., Курчавов Н. А., Ведерников А. И., Кузьмина Л. Г., Фрейдзон А. Я., Багатурьянц А. А., Стреленко Ю. А., Ховард Дж. А. К., Громов С. П. Нитропроизводные </w:t>
      </w:r>
      <w:r>
        <w:rPr>
          <w:b w:val="false"/>
          <w:bCs w:val="false"/>
          <w:i/>
          <w:color w:val="000000"/>
          <w:szCs w:val="24"/>
          <w:u w:val="none"/>
        </w:rPr>
        <w:t>N</w:t>
      </w:r>
      <w:r>
        <w:rPr>
          <w:b w:val="false"/>
          <w:bCs w:val="false"/>
          <w:color w:val="000000"/>
          <w:szCs w:val="24"/>
          <w:u w:val="none"/>
        </w:rPr>
        <w:t xml:space="preserve">-алкилбензоаза-15-краун-5-эфиров: синтез, строение и комплексообразование с катионами металлов и аммония.” // </w:t>
      </w:r>
      <w:r>
        <w:rPr>
          <w:b w:val="false"/>
          <w:bCs w:val="false"/>
          <w:i/>
          <w:color w:val="000000"/>
          <w:szCs w:val="24"/>
          <w:u w:val="none"/>
        </w:rPr>
        <w:t>Изв. АН, Сер. хим</w:t>
      </w:r>
      <w:r>
        <w:rPr>
          <w:b w:val="false"/>
          <w:bCs w:val="false"/>
          <w:color w:val="000000"/>
          <w:szCs w:val="24"/>
          <w:u w:val="none"/>
        </w:rPr>
        <w:t xml:space="preserve">. - 2010. - № 6. – С. 1167-1181. </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WW8Num4z0">
    <w:name w:val="WW8Num4z0"/>
    <w:qFormat/>
    <w:rPr>
      <w:rFonts w:ascii="Calibri" w:hAnsi="Calibri" w:cs="Calibri"/>
      <w:highlight w:val="yellow"/>
      <w:lang w:val="en-US"/>
    </w:rPr>
  </w:style>
  <w:style w:type="character" w:styleId="ListLabel2">
    <w:name w:val="ListLabel 2"/>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3">
    <w:name w:val="ListLabel 3"/>
    <w:qFormat/>
    <w:rPr>
      <w:b w:val="false"/>
      <w:i w:val="false"/>
      <w:sz w:val="24"/>
      <w:szCs w:val="24"/>
      <w:highlight w:val="yellow"/>
      <w:lang w:val="en-US"/>
    </w:rPr>
  </w:style>
  <w:style w:type="character" w:styleId="ListLabel4">
    <w:name w:val="ListLabel 4"/>
    <w:qFormat/>
    <w:rPr>
      <w:rFonts w:eastAsia="Times New Roman" w:cs="Calibri"/>
      <w:bCs/>
      <w:iCs/>
      <w:szCs w:val="24"/>
      <w:highlight w:val="yellow"/>
      <w:lang w:val="en-US" w:eastAsia="ru-RU"/>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5">
    <w:name w:val="ListLabel 5"/>
    <w:qFormat/>
    <w:rPr>
      <w:b w:val="false"/>
      <w:i w:val="false"/>
      <w:sz w:val="24"/>
      <w:szCs w:val="24"/>
      <w:highlight w:val="yellow"/>
      <w:lang w:val="en-US"/>
    </w:rPr>
  </w:style>
  <w:style w:type="character" w:styleId="ListLabel6">
    <w:name w:val="ListLabel 6"/>
    <w:qFormat/>
    <w:rPr>
      <w:rFonts w:eastAsia="Times New Roman" w:cs="Calibri"/>
      <w:bCs/>
      <w:iCs/>
      <w:szCs w:val="24"/>
      <w:highlight w:val="yellow"/>
      <w:lang w:val="en-US" w:eastAsia="ru-RU"/>
    </w:rPr>
  </w:style>
  <w:style w:type="character" w:styleId="ListLabel7">
    <w:name w:val="ListLabel 7"/>
    <w:qFormat/>
    <w:rPr>
      <w:b w:val="false"/>
      <w:i w:val="false"/>
      <w:sz w:val="24"/>
      <w:szCs w:val="24"/>
      <w:highlight w:val="yellow"/>
      <w:lang w:val="en-US"/>
    </w:rPr>
  </w:style>
  <w:style w:type="character" w:styleId="ListLabel8">
    <w:name w:val="ListLabel 8"/>
    <w:qFormat/>
    <w:rPr>
      <w:rFonts w:eastAsia="Times New Roman" w:cs="Calibri"/>
      <w:bCs/>
      <w:iCs/>
      <w:szCs w:val="24"/>
      <w:highlight w:val="yellow"/>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9">
    <w:name w:val="ListLabel 9"/>
    <w:qFormat/>
    <w:rPr>
      <w:b w:val="false"/>
      <w:i w:val="false"/>
      <w:sz w:val="24"/>
      <w:szCs w:val="24"/>
      <w:highlight w:val="yellow"/>
      <w:lang w:val="en-US"/>
    </w:rPr>
  </w:style>
  <w:style w:type="character" w:styleId="ListLabel10">
    <w:name w:val="ListLabel 10"/>
    <w:qFormat/>
    <w:rPr>
      <w:rFonts w:eastAsia="Times New Roman" w:cs="Calibri"/>
      <w:bCs/>
      <w:iCs/>
      <w:szCs w:val="24"/>
      <w:highlight w:val="yellow"/>
      <w:lang w:val="en-US" w:eastAsia="ru-RU"/>
    </w:rPr>
  </w:style>
  <w:style w:type="character" w:styleId="ListLabel11">
    <w:name w:val="ListLabel 11"/>
    <w:qFormat/>
    <w:rPr>
      <w:rFonts w:eastAsia="MS Mincho;ＭＳ 明朝"/>
      <w:lang w:val="en-US" w:eastAsia="ja-JP"/>
    </w:rPr>
  </w:style>
  <w:style w:type="character" w:styleId="ListLabel12">
    <w:name w:val="ListLabel 12"/>
    <w:qFormat/>
    <w:rPr>
      <w:b w:val="false"/>
      <w:i w:val="false"/>
      <w:sz w:val="24"/>
      <w:szCs w:val="24"/>
      <w:highlight w:val="yellow"/>
      <w:lang w:val="en-US"/>
    </w:rPr>
  </w:style>
  <w:style w:type="character" w:styleId="ListLabel13">
    <w:name w:val="ListLabel 13"/>
    <w:qFormat/>
    <w:rPr>
      <w:rFonts w:eastAsia="Times New Roman" w:cs="Calibri"/>
      <w:bCs/>
      <w:iCs/>
      <w:szCs w:val="24"/>
      <w:highlight w:val="yellow"/>
      <w:lang w:val="en-US" w:eastAsia="ru-RU"/>
    </w:rPr>
  </w:style>
  <w:style w:type="character" w:styleId="ListLabel14">
    <w:name w:val="ListLabel 14"/>
    <w:qFormat/>
    <w:rPr>
      <w:rFonts w:eastAsia="MS Mincho;ＭＳ 明朝"/>
      <w:lang w:val="en-US" w:eastAsia="ja-JP"/>
    </w:rPr>
  </w:style>
  <w:style w:type="character" w:styleId="ListLabel15">
    <w:name w:val="ListLabel 15"/>
    <w:qFormat/>
    <w:rPr>
      <w:b w:val="false"/>
      <w:i w:val="false"/>
      <w:sz w:val="24"/>
      <w:szCs w:val="24"/>
      <w:highlight w:val="yellow"/>
      <w:lang w:val="en-US"/>
    </w:rPr>
  </w:style>
  <w:style w:type="character" w:styleId="ListLabel16">
    <w:name w:val="ListLabel 16"/>
    <w:qFormat/>
    <w:rPr>
      <w:rFonts w:eastAsia="Times New Roman" w:cs="Calibri"/>
      <w:bCs/>
      <w:iCs/>
      <w:szCs w:val="24"/>
      <w:highlight w:val="yellow"/>
      <w:lang w:val="en-US" w:eastAsia="ru-RU"/>
    </w:rPr>
  </w:style>
  <w:style w:type="character" w:styleId="ListLabel17">
    <w:name w:val="ListLabel 17"/>
    <w:qFormat/>
    <w:rPr>
      <w:rFonts w:eastAsia="MS Mincho;ＭＳ 明朝"/>
      <w:lang w:val="en-US" w:eastAsia="ja-JP"/>
    </w:rPr>
  </w:style>
  <w:style w:type="character" w:styleId="ListLabel18">
    <w:name w:val="ListLabel 18"/>
    <w:qFormat/>
    <w:rPr>
      <w:b w:val="false"/>
      <w:i w:val="false"/>
      <w:sz w:val="24"/>
      <w:szCs w:val="24"/>
      <w:highlight w:val="yellow"/>
      <w:lang w:val="en-US"/>
    </w:rPr>
  </w:style>
  <w:style w:type="character" w:styleId="ListLabel19">
    <w:name w:val="ListLabel 19"/>
    <w:qFormat/>
    <w:rPr>
      <w:rFonts w:eastAsia="Times New Roman" w:cs="Calibri"/>
      <w:bCs/>
      <w:iCs/>
      <w:szCs w:val="24"/>
      <w:highlight w:val="yellow"/>
      <w:lang w:val="en-US" w:eastAsia="ru-RU"/>
    </w:rPr>
  </w:style>
  <w:style w:type="character" w:styleId="ListLabel20">
    <w:name w:val="ListLabel 20"/>
    <w:qFormat/>
    <w:rPr>
      <w:rFonts w:eastAsia="MS Mincho;ＭＳ 明朝"/>
      <w:lang w:val="en-US" w:eastAsia="ja-JP"/>
    </w:rPr>
  </w:style>
  <w:style w:type="character" w:styleId="WW8Num14z0">
    <w:name w:val="WW8Num14z0"/>
    <w:qFormat/>
    <w:rPr>
      <w:rFonts w:ascii="Times New Roman" w:hAnsi="Times New Roman" w:eastAsia="Calibri" w:cs="Times New Roman"/>
      <w:iCs/>
      <w:spacing w:val="1"/>
      <w:sz w:val="24"/>
      <w:szCs w:val="24"/>
      <w:highlight w:val="red"/>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21">
    <w:name w:val="ListLabel 21"/>
    <w:qFormat/>
    <w:rPr>
      <w:b w:val="false"/>
      <w:i w:val="false"/>
      <w:sz w:val="24"/>
      <w:szCs w:val="24"/>
      <w:highlight w:val="yellow"/>
      <w:lang w:val="en-US"/>
    </w:rPr>
  </w:style>
  <w:style w:type="character" w:styleId="ListLabel22">
    <w:name w:val="ListLabel 22"/>
    <w:qFormat/>
    <w:rPr>
      <w:rFonts w:eastAsia="Times New Roman" w:cs="Calibri"/>
      <w:bCs/>
      <w:iCs/>
      <w:szCs w:val="24"/>
      <w:highlight w:val="yellow"/>
      <w:lang w:val="en-US" w:eastAsia="ru-RU"/>
    </w:rPr>
  </w:style>
  <w:style w:type="character" w:styleId="ListLabel23">
    <w:name w:val="ListLabel 23"/>
    <w:qFormat/>
    <w:rPr>
      <w:rFonts w:eastAsia="MS Mincho;ＭＳ 明朝"/>
      <w:lang w:val="en-US" w:eastAsia="ja-JP"/>
    </w:rPr>
  </w:style>
  <w:style w:type="character" w:styleId="ListLabel24">
    <w:name w:val="ListLabel 24"/>
    <w:qFormat/>
    <w:rPr>
      <w:rFonts w:eastAsia="Calibri" w:cs="Times New Roman"/>
      <w:iCs/>
      <w:spacing w:val="1"/>
      <w:sz w:val="24"/>
      <w:szCs w:val="24"/>
      <w:highlight w:val="red"/>
      <w:lang w:val="en-U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4">
    <w:name w:val="WW8Num4"/>
    <w:qFormat/>
  </w:style>
  <w:style w:type="numbering" w:styleId="WW8Num2">
    <w:name w:val="WW8Num2"/>
    <w:qFormat/>
  </w:style>
  <w:style w:type="numbering" w:styleId="WW8Num1">
    <w:name w:val="WW8Num1"/>
    <w:qFormat/>
  </w:style>
  <w:style w:type="numbering" w:styleId="WW8Num3">
    <w:name w:val="WW8Num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LibreOffice/5.1.4.2$Linux_X86_64 LibreOffice_project/10m0$Build-2</Application>
  <Pages>2</Pages>
  <Words>561</Words>
  <Characters>2914</Characters>
  <CharactersWithSpaces>3467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2017-05-02T13:17:22Z</dcterms:created>
  <dc:creator/>
  <dc:description/>
  <dc:language>en-US</dc:language>
  <cp:lastModifiedBy/>
  <dcterms:modified xsi:type="dcterms:W3CDTF">2017-05-18T11:50:27Z</dcterms:modified>
  <cp:revision>12</cp:revision>
  <dc:subject/>
  <dc:title/>
</cp:coreProperties>
</file>