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2016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Style14"/>
        <w:widowControl w:val="false"/>
        <w:numPr>
          <w:ilvl w:val="0"/>
          <w:numId w:val="1"/>
        </w:numPr>
        <w:spacing w:lineRule="auto" w:line="240" w:before="0" w:after="120"/>
        <w:contextualSpacing/>
        <w:rPr>
          <w:b w:val="false"/>
          <w:b w:val="false"/>
          <w:bCs w:val="false"/>
          <w:u w:val="none"/>
        </w:rPr>
      </w:pP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  <w:u w:val="none"/>
        </w:rPr>
        <w:t>Фотоника бис</w:t>
        <w:noBreakHyphen/>
        <w:t>(диэтиламинобензилиден)циклопентанона и его бис</w:t>
        <w:noBreakHyphen/>
        <w:t xml:space="preserve">азакраунсодержащего аналога в ацетонитриле / Г. В. Захарова, Ф. С. Зюзькевич, В. Н. Нуриев, С. З. Вацадзе, В. Г. Плотников, С. П. Громов, А. К. Чибисов // Химия высоких энергий.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</w:rPr>
        <w:t>—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  <w:u w:val="none"/>
        </w:rPr>
        <w:t xml:space="preserve"> 2016.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</w:rPr>
        <w:t>—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  <w:u w:val="none"/>
        </w:rPr>
        <w:t xml:space="preserve"> Т. 50.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</w:rPr>
        <w:t>—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  <w:u w:val="none"/>
        </w:rPr>
        <w:t xml:space="preserve"> </w:t>
      </w:r>
      <w:r>
        <w:rPr>
          <w:rFonts w:cs="Times New Roman" w:ascii="Times New Roman" w:hAnsi="Times New Roman"/>
          <w:b w:val="false"/>
          <w:bCs w:val="false"/>
          <w:spacing w:val="2"/>
          <w:sz w:val="24"/>
          <w:szCs w:val="24"/>
          <w:u w:val="none"/>
        </w:rPr>
        <w:t>В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  <w:u w:val="none"/>
        </w:rPr>
        <w:t>ы</w:t>
      </w:r>
      <w:r>
        <w:rPr>
          <w:rFonts w:cs="Times New Roman" w:ascii="Times New Roman" w:hAnsi="Times New Roman"/>
          <w:b w:val="false"/>
          <w:bCs w:val="false"/>
          <w:spacing w:val="-1"/>
          <w:sz w:val="24"/>
          <w:szCs w:val="24"/>
          <w:u w:val="none"/>
        </w:rPr>
        <w:t>п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</w:rPr>
        <w:t>.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  <w:u w:val="none"/>
        </w:rPr>
        <w:t xml:space="preserve"> 1.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</w:rPr>
        <w:t>—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  <w:u w:val="none"/>
        </w:rPr>
        <w:t xml:space="preserve"> С. 29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</w:rPr>
        <w:t>—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  <w:u w:val="none"/>
        </w:rPr>
        <w:t xml:space="preserve">33. </w:t>
      </w:r>
    </w:p>
    <w:p>
      <w:pPr>
        <w:pStyle w:val="Style14"/>
        <w:widowControl w:val="false"/>
        <w:numPr>
          <w:ilvl w:val="0"/>
          <w:numId w:val="0"/>
        </w:numPr>
        <w:spacing w:lineRule="auto" w:line="240" w:before="0" w:after="120"/>
        <w:ind w:left="1440" w:hanging="0"/>
        <w:contextualSpacing/>
        <w:rPr>
          <w:rFonts w:ascii="Times New Roman" w:hAnsi="Times New Roman" w:cs="Times New Roman"/>
          <w:b w:val="false"/>
          <w:b w:val="false"/>
          <w:bCs w:val="false"/>
          <w:spacing w:val="1"/>
          <w:sz w:val="24"/>
          <w:szCs w:val="24"/>
          <w:u w:val="none"/>
        </w:rPr>
      </w:pP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  <w:u w:val="none"/>
        </w:rPr>
      </w:r>
    </w:p>
    <w:p>
      <w:pPr>
        <w:pStyle w:val="Style14"/>
        <w:widowControl w:val="false"/>
        <w:numPr>
          <w:ilvl w:val="0"/>
          <w:numId w:val="1"/>
        </w:numPr>
        <w:spacing w:lineRule="auto" w:line="240" w:before="0" w:after="120"/>
        <w:contextualSpacing/>
        <w:rPr>
          <w:b w:val="false"/>
          <w:b w:val="false"/>
          <w:bCs w:val="false"/>
          <w:u w:val="none"/>
        </w:rPr>
      </w:pP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  <w:u w:val="none"/>
        </w:rPr>
        <w:t xml:space="preserve"> 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  <w:u w:val="none"/>
        </w:rPr>
        <w:t xml:space="preserve">Влияние пептида, моделирующего связывающий центр никотинового рецептора, на спектрально- люминесцентные свойства комплексов красителей с кукурбит[8]урилом / Г. В. Захарова, Р. Р. Константинов, А. В. Одиноков, А. К. Чибисов, М. В. Алфимов, И. Е. Кашеверов, Ю. Н. Уткин, М. Н. Жмак, В. И. Цетлин // </w:t>
      </w:r>
      <w:bookmarkStart w:id="0" w:name="OLE_LINK121"/>
      <w:bookmarkStart w:id="1" w:name="OLE_LINK122"/>
      <w:bookmarkStart w:id="2" w:name="OLE_LINK123"/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  <w:u w:val="none"/>
        </w:rPr>
        <w:t xml:space="preserve">Химия высоких энергий. — 2016. — Т. 50. — </w:t>
      </w:r>
      <w:r>
        <w:rPr>
          <w:rFonts w:cs="Times New Roman" w:ascii="Times New Roman" w:hAnsi="Times New Roman"/>
          <w:b w:val="false"/>
          <w:bCs w:val="false"/>
          <w:spacing w:val="2"/>
          <w:sz w:val="24"/>
          <w:szCs w:val="24"/>
          <w:u w:val="none"/>
        </w:rPr>
        <w:t>В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  <w:u w:val="none"/>
        </w:rPr>
        <w:t>ы</w:t>
      </w:r>
      <w:r>
        <w:rPr>
          <w:rFonts w:cs="Times New Roman" w:ascii="Times New Roman" w:hAnsi="Times New Roman"/>
          <w:b w:val="false"/>
          <w:bCs w:val="false"/>
          <w:spacing w:val="-1"/>
          <w:sz w:val="24"/>
          <w:szCs w:val="24"/>
          <w:u w:val="none"/>
        </w:rPr>
        <w:t>п</w:t>
      </w:r>
      <w:bookmarkEnd w:id="0"/>
      <w:bookmarkEnd w:id="1"/>
      <w:bookmarkEnd w:id="2"/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  <w:u w:val="none"/>
        </w:rPr>
        <w:t xml:space="preserve">. 2. — С. 127—131. </w:t>
      </w:r>
    </w:p>
    <w:p>
      <w:pPr>
        <w:pStyle w:val="Style14"/>
        <w:widowControl w:val="false"/>
        <w:numPr>
          <w:ilvl w:val="0"/>
          <w:numId w:val="0"/>
        </w:numPr>
        <w:spacing w:lineRule="auto" w:line="240" w:before="0" w:after="120"/>
        <w:ind w:left="1440" w:hanging="0"/>
        <w:contextualSpacing/>
        <w:rPr>
          <w:rFonts w:ascii="Times New Roman" w:hAnsi="Times New Roman" w:cs="Times New Roman"/>
          <w:b w:val="false"/>
          <w:b w:val="false"/>
          <w:bCs w:val="false"/>
          <w:spacing w:val="1"/>
          <w:sz w:val="24"/>
          <w:szCs w:val="24"/>
          <w:u w:val="none"/>
        </w:rPr>
      </w:pP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  <w:u w:val="none"/>
        </w:rPr>
      </w:r>
    </w:p>
    <w:p>
      <w:pPr>
        <w:pStyle w:val="Style14"/>
        <w:widowControl w:val="false"/>
        <w:numPr>
          <w:ilvl w:val="0"/>
          <w:numId w:val="1"/>
        </w:numPr>
        <w:spacing w:lineRule="auto" w:line="240" w:before="0" w:after="120"/>
        <w:contextualSpacing/>
        <w:rPr>
          <w:b w:val="false"/>
          <w:b w:val="false"/>
          <w:bCs w:val="false"/>
          <w:u w:val="none"/>
        </w:rPr>
      </w:pP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  <w:u w:val="none"/>
        </w:rPr>
        <w:t xml:space="preserve">Замедленная флуоресценция 3,3’-тиакарбоцианина в присутствии кукурбит[7]урила / Г. В. Захарова, А. К. Чибисов // Химия высоких энергий. — 2016. — Т. 50. — № 5. — С. 388—390. 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contextualSpacing/>
        <w:rPr>
          <w:b w:val="false"/>
          <w:b w:val="false"/>
          <w:bCs w:val="false"/>
          <w:u w:val="none"/>
        </w:rPr>
      </w:pP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  <w:u w:val="none"/>
        </w:rPr>
        <w:t xml:space="preserve">Замедленная флуоресценция 3,3'-диэтилтиакарбоцианина в присутствии кукурбит[7]урила / </w:t>
      </w:r>
      <w:bookmarkStart w:id="3" w:name="OLE_LINK158"/>
      <w:bookmarkStart w:id="4" w:name="OLE_LINK159"/>
      <w:bookmarkStart w:id="5" w:name="OLE_LINK160"/>
      <w:bookmarkStart w:id="6" w:name="OLE_LINK161"/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  <w:u w:val="none"/>
        </w:rPr>
        <w:t>Г. В. Захарова</w:t>
      </w:r>
      <w:bookmarkEnd w:id="3"/>
      <w:bookmarkEnd w:id="4"/>
      <w:bookmarkEnd w:id="5"/>
      <w:bookmarkEnd w:id="6"/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  <w:u w:val="none"/>
        </w:rPr>
        <w:t xml:space="preserve">, А. К. Чибисов // Химия высоких энергий.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</w:rPr>
        <w:t>—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  <w:u w:val="none"/>
        </w:rPr>
        <w:t xml:space="preserve"> 2016.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</w:rPr>
        <w:t>—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  <w:u w:val="none"/>
        </w:rPr>
        <w:t xml:space="preserve"> Т. 50.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</w:rPr>
        <w:t>—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  <w:u w:val="none"/>
        </w:rPr>
        <w:t xml:space="preserve"> </w:t>
      </w:r>
      <w:r>
        <w:rPr>
          <w:rFonts w:cs="Times New Roman" w:ascii="Times New Roman" w:hAnsi="Times New Roman"/>
          <w:b w:val="false"/>
          <w:bCs w:val="false"/>
          <w:spacing w:val="2"/>
          <w:sz w:val="24"/>
          <w:szCs w:val="24"/>
          <w:u w:val="none"/>
        </w:rPr>
        <w:t>В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  <w:u w:val="none"/>
        </w:rPr>
        <w:t>ы</w:t>
      </w:r>
      <w:r>
        <w:rPr>
          <w:rFonts w:cs="Times New Roman" w:ascii="Times New Roman" w:hAnsi="Times New Roman"/>
          <w:b w:val="false"/>
          <w:bCs w:val="false"/>
          <w:spacing w:val="-1"/>
          <w:sz w:val="24"/>
          <w:szCs w:val="24"/>
          <w:u w:val="none"/>
        </w:rPr>
        <w:t>п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</w:rPr>
        <w:t>.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  <w:u w:val="none"/>
        </w:rPr>
        <w:t xml:space="preserve"> 5. </w:t>
      </w:r>
      <w:bookmarkStart w:id="7" w:name="OLE_LINK172"/>
      <w:bookmarkStart w:id="8" w:name="OLE_LINK173"/>
      <w:bookmarkStart w:id="9" w:name="OLE_LINK174"/>
      <w:bookmarkStart w:id="10" w:name="OLE_LINK175"/>
      <w:bookmarkStart w:id="11" w:name="OLE_LINK176"/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</w:rPr>
        <w:t>—</w:t>
      </w:r>
      <w:bookmarkEnd w:id="7"/>
      <w:bookmarkEnd w:id="8"/>
      <w:bookmarkEnd w:id="9"/>
      <w:bookmarkEnd w:id="10"/>
      <w:bookmarkEnd w:id="11"/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  <w:u w:val="none"/>
        </w:rPr>
        <w:t xml:space="preserve"> С. 388–390.  </w:t>
      </w:r>
    </w:p>
    <w:p>
      <w:pPr>
        <w:pStyle w:val="Style14"/>
        <w:widowControl w:val="false"/>
        <w:numPr>
          <w:ilvl w:val="0"/>
          <w:numId w:val="0"/>
        </w:numPr>
        <w:spacing w:lineRule="auto" w:line="240" w:before="0" w:after="120"/>
        <w:ind w:left="1440" w:hanging="0"/>
        <w:contextualSpacing/>
        <w:rPr>
          <w:rFonts w:ascii="Times New Roman" w:hAnsi="Times New Roman" w:cs="Times New Roman"/>
          <w:b w:val="false"/>
          <w:b w:val="false"/>
          <w:bCs w:val="false"/>
          <w:spacing w:val="1"/>
          <w:sz w:val="24"/>
          <w:szCs w:val="24"/>
          <w:u w:val="none"/>
        </w:rPr>
      </w:pP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  <w:u w:val="none"/>
        </w:rPr>
      </w:r>
    </w:p>
    <w:p>
      <w:pPr>
        <w:pStyle w:val="Style14"/>
        <w:widowControl w:val="false"/>
        <w:numPr>
          <w:ilvl w:val="0"/>
          <w:numId w:val="1"/>
        </w:numPr>
        <w:spacing w:lineRule="auto" w:line="240" w:before="0" w:after="120"/>
        <w:contextualSpacing/>
        <w:rPr>
          <w:b w:val="false"/>
          <w:b w:val="false"/>
          <w:bCs w:val="false"/>
          <w:u w:val="none"/>
        </w:rPr>
      </w:pP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  <w:u w:val="none"/>
        </w:rPr>
        <w:t xml:space="preserve">Фотопроцессы бис-(диэтиламинобензилиден)циклогексанона и его бис-аза-18-краун-6-содержащего аналога в растворе / Г. В. Захарова, Ф. С. Зюзькевич, В. И. Гутров, В. Н. Нуриев, С. З. Вацадзе, В. Г. Плотников, С. П. Громов, А. К. Чибисов // Химия высоких энергий. — 2016. — Т. 50. — </w:t>
      </w:r>
      <w:r>
        <w:rPr>
          <w:rFonts w:cs="Times New Roman" w:ascii="Times New Roman" w:hAnsi="Times New Roman"/>
          <w:b w:val="false"/>
          <w:bCs w:val="false"/>
          <w:spacing w:val="2"/>
          <w:sz w:val="24"/>
          <w:szCs w:val="24"/>
          <w:u w:val="none"/>
        </w:rPr>
        <w:t>В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  <w:u w:val="none"/>
        </w:rPr>
        <w:t>ы</w:t>
      </w:r>
      <w:r>
        <w:rPr>
          <w:rFonts w:cs="Times New Roman" w:ascii="Times New Roman" w:hAnsi="Times New Roman"/>
          <w:b w:val="false"/>
          <w:bCs w:val="false"/>
          <w:spacing w:val="-1"/>
          <w:sz w:val="24"/>
          <w:szCs w:val="24"/>
          <w:u w:val="none"/>
        </w:rPr>
        <w:t>п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  <w:u w:val="none"/>
        </w:rPr>
        <w:t>. 6. – С. 467—471</w:t>
      </w:r>
    </w:p>
    <w:p>
      <w:pPr>
        <w:pStyle w:val="Style14"/>
        <w:widowControl w:val="false"/>
        <w:numPr>
          <w:ilvl w:val="0"/>
          <w:numId w:val="0"/>
        </w:numPr>
        <w:spacing w:lineRule="auto" w:line="240" w:before="0" w:after="120"/>
        <w:ind w:left="1440" w:hanging="0"/>
        <w:contextualSpacing/>
        <w:rPr>
          <w:rFonts w:ascii="Times New Roman" w:hAnsi="Times New Roman" w:cs="Times New Roman"/>
          <w:b w:val="false"/>
          <w:b w:val="false"/>
          <w:bCs w:val="false"/>
          <w:spacing w:val="1"/>
          <w:sz w:val="24"/>
          <w:szCs w:val="24"/>
          <w:u w:val="none"/>
        </w:rPr>
      </w:pP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  <w:u w:val="none"/>
        </w:rPr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contextualSpacing/>
        <w:rPr>
          <w:b w:val="false"/>
          <w:b w:val="false"/>
          <w:bCs w:val="false"/>
          <w:u w:val="none"/>
        </w:rPr>
      </w:pP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  <w:u w:val="none"/>
          <w:lang w:val="en-US"/>
        </w:rPr>
        <w:t xml:space="preserve">Effect of a Peptide Modeling the Nicotinic Receptor Binding Site on the Spectral and Luminescent Properties of Dye Complexes with Cucurbit[8]uril. </w:t>
      </w:r>
      <w:bookmarkStart w:id="12" w:name="OLE_LINK157"/>
      <w:bookmarkStart w:id="13" w:name="OLE_LINK156"/>
      <w:bookmarkStart w:id="14" w:name="OLE_LINK155"/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  <w:u w:val="none"/>
          <w:lang w:val="en-US"/>
        </w:rPr>
        <w:t>/</w:t>
      </w:r>
      <w:bookmarkEnd w:id="12"/>
      <w:bookmarkEnd w:id="13"/>
      <w:bookmarkEnd w:id="14"/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  <w:u w:val="none"/>
          <w:lang w:val="en-US"/>
        </w:rPr>
        <w:t xml:space="preserve"> </w:t>
      </w:r>
      <w:bookmarkStart w:id="15" w:name="OLE_LINK146"/>
      <w:bookmarkStart w:id="16" w:name="OLE_LINK145"/>
      <w:bookmarkStart w:id="17" w:name="OLE_LINK144"/>
      <w:bookmarkStart w:id="18" w:name="OLE_LINK143"/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  <w:u w:val="none"/>
          <w:lang w:val="en-US"/>
        </w:rPr>
        <w:t>G.V. Zakharova</w:t>
      </w:r>
      <w:bookmarkEnd w:id="15"/>
      <w:bookmarkEnd w:id="16"/>
      <w:bookmarkEnd w:id="17"/>
      <w:bookmarkEnd w:id="18"/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  <w:u w:val="none"/>
          <w:lang w:val="en-US"/>
        </w:rPr>
        <w:t xml:space="preserve">, R.R. Konstantinov, A.V. Odinokov, A.K. Chibisov, M.V. Alfimov, I.E. Kasheverov, Yu.N. Utkin, M.N. Zhmak, V.I. Tsetlin // High Energy Chemistry.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  <w:lang w:val="en-US"/>
        </w:rPr>
        <w:t>—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  <w:u w:val="none"/>
          <w:lang w:val="en-US"/>
        </w:rPr>
        <w:t xml:space="preserve"> 2016.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  <w:lang w:val="en-US"/>
        </w:rPr>
        <w:t>—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  <w:u w:val="none"/>
          <w:lang w:val="en-US"/>
        </w:rPr>
        <w:t xml:space="preserve"> Vol. 50.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  <w:lang w:val="en-US"/>
        </w:rPr>
        <w:t>—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  <w:u w:val="none"/>
          <w:lang w:val="en-US"/>
        </w:rPr>
        <w:t xml:space="preserve"> No. 2.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  <w:lang w:val="en-US"/>
        </w:rPr>
        <w:t>—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  <w:u w:val="none"/>
          <w:lang w:val="en-US"/>
        </w:rPr>
        <w:t xml:space="preserve"> pp. 121–126 (ХВЭ 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  <w:u w:val="none"/>
        </w:rPr>
        <w:t>С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  <w:u w:val="none"/>
          <w:lang w:val="en-US"/>
        </w:rPr>
        <w:t xml:space="preserve">. 127–131). </w:t>
      </w:r>
    </w:p>
    <w:p>
      <w:pPr>
        <w:pStyle w:val="Style14"/>
        <w:widowControl w:val="false"/>
        <w:numPr>
          <w:ilvl w:val="0"/>
          <w:numId w:val="0"/>
        </w:numPr>
        <w:spacing w:lineRule="auto" w:line="240" w:before="0" w:after="0"/>
        <w:ind w:left="1440" w:hanging="0"/>
        <w:contextualSpacing/>
        <w:rPr>
          <w:rFonts w:ascii="Times New Roman" w:hAnsi="Times New Roman" w:cs="Times New Roman"/>
          <w:b w:val="false"/>
          <w:b w:val="false"/>
          <w:bCs w:val="false"/>
          <w:spacing w:val="1"/>
          <w:sz w:val="24"/>
          <w:szCs w:val="24"/>
          <w:u w:val="none"/>
        </w:rPr>
      </w:pP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  <w:u w:val="none"/>
        </w:rPr>
      </w:r>
    </w:p>
    <w:p>
      <w:pPr>
        <w:pStyle w:val="Style14"/>
        <w:widowControl w:val="false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  <w:u w:val="none"/>
        </w:rPr>
        <w:t>Влияние кукурбит[8]урила на спектрально-люминесцентные свойства алкилзамещенных тиакарбоцианинов. / Г. В. Захарова, В. Г. Авакян, А. К. Чибисов, М. В. Алфимов // Химия высоких энергий – в печати.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Style14"/>
        <w:widowControl w:val="false"/>
        <w:numPr>
          <w:ilvl w:val="0"/>
          <w:numId w:val="1"/>
        </w:numPr>
        <w:spacing w:lineRule="auto" w:line="240" w:before="0" w:after="0"/>
        <w:contextualSpacing/>
        <w:rPr>
          <w:b w:val="false"/>
          <w:b w:val="false"/>
          <w:bCs w:val="false"/>
          <w:u w:val="none"/>
        </w:rPr>
      </w:pP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  <w:u w:val="none"/>
        </w:rPr>
        <w:t xml:space="preserve">Замедленная флуоресценция димерных комплексов алкилзамещенных тиакарбоцианинов с кукурбит[8]урилом </w:t>
      </w:r>
      <w:bookmarkStart w:id="19" w:name="OLE_LINK166"/>
      <w:bookmarkStart w:id="20" w:name="OLE_LINK167"/>
      <w:bookmarkStart w:id="21" w:name="OLE_LINK168"/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  <w:u w:val="none"/>
        </w:rPr>
        <w:t>/</w:t>
      </w:r>
      <w:bookmarkEnd w:id="19"/>
      <w:bookmarkEnd w:id="20"/>
      <w:bookmarkEnd w:id="21"/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  <w:u w:val="none"/>
        </w:rPr>
        <w:t xml:space="preserve"> Г. В. Захарова, В. Н. Гутров, М. В. Алфимов, А. К. Чибисов </w:t>
      </w:r>
      <w:bookmarkStart w:id="22" w:name="OLE_LINK169"/>
      <w:bookmarkStart w:id="23" w:name="OLE_LINK170"/>
      <w:bookmarkStart w:id="24" w:name="OLE_LINK171"/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  <w:u w:val="none"/>
        </w:rPr>
        <w:t>//</w:t>
      </w:r>
      <w:bookmarkEnd w:id="22"/>
      <w:bookmarkEnd w:id="23"/>
      <w:bookmarkEnd w:id="24"/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  <w:u w:val="none"/>
        </w:rPr>
        <w:t xml:space="preserve"> Химия высоких энергий – в печати.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2015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numPr>
          <w:ilvl w:val="0"/>
          <w:numId w:val="1"/>
        </w:numPr>
        <w:spacing w:lineRule="auto" w:line="240"/>
        <w:jc w:val="both"/>
        <w:rPr>
          <w:b w:val="false"/>
          <w:b w:val="false"/>
          <w:bCs w:val="false"/>
          <w:u w:val="none"/>
        </w:rPr>
      </w:pPr>
      <w:r>
        <w:rPr>
          <w:rFonts w:eastAsia="Calibri" w:cs="Times New Roman"/>
          <w:b w:val="false"/>
          <w:bCs w:val="false"/>
          <w:u w:val="none"/>
        </w:rPr>
        <w:t>Захарова Г. В., Зюзькевич Ф. С., Нуриев В. Н., Вацадзе С. З., Плотников В. Г., Громов С. П., Чибисов А. К. “Фотоника бис</w:t>
        <w:noBreakHyphen/>
        <w:t>(диэтиламинобензилиден)циклопентанона и его бис</w:t>
        <w:noBreakHyphen/>
        <w:t xml:space="preserve">азакраунсодержащего аналога в ацетонитриле.” // </w:t>
      </w:r>
      <w:r>
        <w:rPr>
          <w:rFonts w:eastAsia="Calibri" w:cs="Times New Roman"/>
          <w:b w:val="false"/>
          <w:bCs w:val="false"/>
          <w:i/>
          <w:u w:val="none"/>
        </w:rPr>
        <w:t>Химия высоких энергий</w:t>
      </w:r>
      <w:r>
        <w:rPr>
          <w:rFonts w:eastAsia="Calibri" w:cs="Times New Roman"/>
          <w:b w:val="false"/>
          <w:bCs w:val="false"/>
          <w:u w:val="none"/>
        </w:rPr>
        <w:t xml:space="preserve"> – 2016. – Т. 50. - № 1. – С. 29-33 [</w:t>
      </w:r>
      <w:r>
        <w:rPr>
          <w:rFonts w:eastAsia="Calibri" w:cs="Times New Roman"/>
          <w:b w:val="false"/>
          <w:bCs w:val="false"/>
          <w:i/>
          <w:u w:val="none"/>
          <w:lang w:val="en-US"/>
        </w:rPr>
        <w:t>High</w:t>
      </w:r>
      <w:r>
        <w:rPr>
          <w:rFonts w:eastAsia="Calibri" w:cs="Times New Roman"/>
          <w:b w:val="false"/>
          <w:bCs w:val="false"/>
          <w:i/>
          <w:u w:val="none"/>
        </w:rPr>
        <w:t xml:space="preserve"> </w:t>
      </w:r>
      <w:r>
        <w:rPr>
          <w:rFonts w:eastAsia="Calibri" w:cs="Times New Roman"/>
          <w:b w:val="false"/>
          <w:bCs w:val="false"/>
          <w:i/>
          <w:u w:val="none"/>
          <w:lang w:val="en-US"/>
        </w:rPr>
        <w:t>Energy</w:t>
      </w:r>
      <w:r>
        <w:rPr>
          <w:rFonts w:eastAsia="Calibri" w:cs="Times New Roman"/>
          <w:b w:val="false"/>
          <w:bCs w:val="false"/>
          <w:i/>
          <w:u w:val="none"/>
        </w:rPr>
        <w:t xml:space="preserve"> </w:t>
      </w:r>
      <w:r>
        <w:rPr>
          <w:rFonts w:eastAsia="Calibri" w:cs="Times New Roman"/>
          <w:b w:val="false"/>
          <w:bCs w:val="false"/>
          <w:i/>
          <w:u w:val="none"/>
          <w:lang w:val="en-US"/>
        </w:rPr>
        <w:t>Chemistry</w:t>
      </w:r>
      <w:r>
        <w:rPr>
          <w:rFonts w:eastAsia="Calibri" w:cs="Times New Roman"/>
          <w:b w:val="false"/>
          <w:bCs w:val="false"/>
          <w:u w:val="none"/>
        </w:rPr>
        <w:t xml:space="preserve">, 2016, 50, 1, 27-31]; </w:t>
      </w:r>
      <w:r>
        <w:rPr>
          <w:rFonts w:eastAsia="Calibri" w:cs="Times New Roman"/>
          <w:b w:val="false"/>
          <w:bCs w:val="false"/>
          <w:u w:val="none"/>
          <w:lang w:val="en-US"/>
        </w:rPr>
        <w:t>DOI</w:t>
      </w:r>
      <w:r>
        <w:rPr>
          <w:rFonts w:eastAsia="Calibri" w:cs="Times New Roman"/>
          <w:b w:val="false"/>
          <w:bCs w:val="false"/>
          <w:u w:val="none"/>
        </w:rPr>
        <w:t>: 10.1134/</w:t>
      </w:r>
      <w:r>
        <w:rPr>
          <w:rFonts w:eastAsia="Calibri" w:cs="Times New Roman"/>
          <w:b w:val="false"/>
          <w:bCs w:val="false"/>
          <w:u w:val="none"/>
          <w:lang w:val="en-US"/>
        </w:rPr>
        <w:t>S</w:t>
      </w:r>
      <w:r>
        <w:rPr>
          <w:rFonts w:eastAsia="Calibri" w:cs="Times New Roman"/>
          <w:b w:val="false"/>
          <w:bCs w:val="false"/>
          <w:u w:val="none"/>
        </w:rPr>
        <w:t>0018143916010124.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numPr>
          <w:ilvl w:val="0"/>
          <w:numId w:val="1"/>
        </w:numPr>
        <w:jc w:val="both"/>
        <w:rPr>
          <w:b w:val="false"/>
          <w:b w:val="false"/>
          <w:bCs w:val="false"/>
          <w:u w:val="none"/>
        </w:rPr>
      </w:pPr>
      <w:r>
        <w:rPr>
          <w:rFonts w:eastAsia="Calibri" w:cs="Times New Roman"/>
          <w:b w:val="false"/>
          <w:bCs w:val="false"/>
          <w:szCs w:val="24"/>
          <w:u w:val="none"/>
        </w:rPr>
        <w:t xml:space="preserve">Захарова Г. В., Авакян В. Г., Маркелов В. П., Святославский Н. Л., Святославская Т. А., Чибисов А. К.. “Влияние кукурбитурила на первичные фотопроцессы индокарбоцианиновых красителей в воде.” // </w:t>
      </w:r>
      <w:r>
        <w:rPr>
          <w:rFonts w:eastAsia="Calibri" w:cs="Times New Roman"/>
          <w:b w:val="false"/>
          <w:bCs w:val="false"/>
          <w:i/>
          <w:szCs w:val="24"/>
          <w:u w:val="none"/>
        </w:rPr>
        <w:t>Химия высоких энергий</w:t>
      </w:r>
      <w:r>
        <w:rPr>
          <w:rFonts w:eastAsia="Calibri" w:cs="Times New Roman"/>
          <w:b w:val="false"/>
          <w:bCs w:val="false"/>
          <w:szCs w:val="24"/>
          <w:u w:val="none"/>
        </w:rPr>
        <w:t>. - 2015. - Т. 49. - № 6. - С. 451-457.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eastAsia="Calibri" w:cs="Times New Roman"/>
          <w:b w:val="false"/>
          <w:b w:val="false"/>
          <w:bCs w:val="false"/>
          <w:szCs w:val="24"/>
          <w:u w:val="none"/>
        </w:rPr>
      </w:pPr>
      <w:r>
        <w:rPr>
          <w:rFonts w:eastAsia="Calibri" w:cs="Times New Roman"/>
          <w:b w:val="false"/>
          <w:bCs w:val="false"/>
          <w:szCs w:val="24"/>
          <w:u w:val="none"/>
        </w:rPr>
      </w:r>
    </w:p>
    <w:p>
      <w:pPr>
        <w:pStyle w:val="Normal"/>
        <w:numPr>
          <w:ilvl w:val="0"/>
          <w:numId w:val="1"/>
        </w:numPr>
        <w:jc w:val="both"/>
        <w:rPr>
          <w:b w:val="false"/>
          <w:b w:val="false"/>
          <w:bCs w:val="false"/>
          <w:u w:val="none"/>
        </w:rPr>
      </w:pPr>
      <w:r>
        <w:rPr>
          <w:rFonts w:eastAsia="Calibri" w:cs="Times New Roman"/>
          <w:b w:val="false"/>
          <w:bCs w:val="false"/>
          <w:szCs w:val="24"/>
          <w:u w:val="none"/>
          <w:lang w:val="en-US"/>
        </w:rPr>
        <w:t xml:space="preserve">Zakharova G. V., Zhizhimov D. A., Sazonov S. K., Avakyan V. G., Gromov S. P., Görner H., Chibisov A. K. “Photoprocesses of alkyl meso-thiacarbocyanine dyes in the presence of cucurbit[7]uril.” // </w:t>
      </w:r>
      <w:r>
        <w:rPr>
          <w:rFonts w:eastAsia="Calibri" w:cs="Times New Roman"/>
          <w:b w:val="false"/>
          <w:bCs w:val="false"/>
          <w:i/>
          <w:iCs/>
          <w:szCs w:val="24"/>
          <w:u w:val="none"/>
          <w:lang w:val="en-US"/>
        </w:rPr>
        <w:t xml:space="preserve">J. Photochem. </w:t>
      </w:r>
      <w:r>
        <w:rPr>
          <w:rFonts w:eastAsia="Calibri" w:cs="Times New Roman"/>
          <w:b w:val="false"/>
          <w:bCs w:val="false"/>
          <w:i/>
          <w:iCs/>
          <w:szCs w:val="24"/>
          <w:u w:val="none"/>
        </w:rPr>
        <w:t>Photobio. A</w:t>
      </w:r>
      <w:r>
        <w:rPr>
          <w:rFonts w:eastAsia="Calibri" w:cs="Times New Roman"/>
          <w:b w:val="false"/>
          <w:bCs w:val="false"/>
          <w:szCs w:val="24"/>
          <w:u w:val="none"/>
        </w:rPr>
        <w:t>. – 2015. – V. 302. – P. 69-77; DOI: 10.1016/j.jphotochem.2015.01.011.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jc w:val="both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2014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numPr>
          <w:ilvl w:val="0"/>
          <w:numId w:val="1"/>
        </w:numPr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Захарова Г. В., Жижимов Д. А., Авакян В. Г., Сазонов С. К., Громов С. П., Чибисов А. К. “Особенность фотоники димеров 3,3'-диэтил-5,5'-дихлор-9-этилтиакарбоцианина в присутствии кукурбит[7]урила.” // Химия высоких энергий. – 2014. – Т. 48. - № 2. – С. 104-108.</w:t>
      </w:r>
    </w:p>
    <w:p>
      <w:pPr>
        <w:pStyle w:val="Normal"/>
        <w:numPr>
          <w:ilvl w:val="0"/>
          <w:numId w:val="1"/>
        </w:numPr>
        <w:spacing w:lineRule="auto" w:line="240"/>
        <w:rPr>
          <w:b w:val="false"/>
          <w:b w:val="false"/>
          <w:bCs w:val="false"/>
          <w:u w:val="none"/>
        </w:rPr>
      </w:pPr>
      <w:r>
        <w:rPr>
          <w:rFonts w:eastAsia="Times New Roman"/>
          <w:b w:val="false"/>
          <w:bCs w:val="false"/>
          <w:u w:val="none"/>
          <w:lang w:val="en-US" w:eastAsia="ru-RU"/>
        </w:rPr>
        <w:t xml:space="preserve">Zakharova, GV (Zakharova, G. V.); Zhizhimov, DA (Zhizhimov, D. A.); Avakyan, VG (Avakyan, V. G.); Sazonov, SK (Sazonov, S. K.); Gromov, SP (Gromov, S. P.); Chibisov, AK (Chibisov, A. K.), «Specificity of photonics of 3,3 '-diethyl-5,5 '-dichloro-9-ethylthiacarbocyanine dimers in the presence of cucurbit[7]uril» // HIGH ENERGY CHEMISTRY </w:t>
      </w:r>
      <w:r>
        <w:rPr>
          <w:b w:val="false"/>
          <w:bCs w:val="false"/>
          <w:u w:val="none"/>
          <w:lang w:val="en-US"/>
        </w:rPr>
        <w:t xml:space="preserve">– 2014. – </w:t>
      </w:r>
      <w:r>
        <w:rPr>
          <w:rFonts w:eastAsia="Times New Roman"/>
          <w:b w:val="false"/>
          <w:bCs w:val="false"/>
          <w:u w:val="none"/>
          <w:lang w:val="en-US" w:eastAsia="ru-RU"/>
        </w:rPr>
        <w:t>V</w:t>
      </w:r>
      <w:r>
        <w:rPr>
          <w:b w:val="false"/>
          <w:bCs w:val="false"/>
          <w:u w:val="none"/>
          <w:lang w:val="en-US"/>
        </w:rPr>
        <w:t xml:space="preserve">. 48. - № 2. - P. </w:t>
      </w:r>
      <w:r>
        <w:rPr>
          <w:rFonts w:eastAsia="Times New Roman"/>
          <w:b w:val="false"/>
          <w:bCs w:val="false"/>
          <w:u w:val="none"/>
          <w:lang w:val="en-US" w:eastAsia="ru-RU"/>
        </w:rPr>
        <w:t>76-80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rFonts w:eastAsia="Times New Roman"/>
          <w:b w:val="false"/>
          <w:b w:val="false"/>
          <w:bCs w:val="false"/>
          <w:u w:val="none"/>
          <w:lang w:val="en-US" w:eastAsia="ru-RU"/>
        </w:rPr>
      </w:pPr>
      <w:r>
        <w:rPr>
          <w:rFonts w:eastAsia="Times New Roman"/>
          <w:b w:val="false"/>
          <w:bCs w:val="false"/>
          <w:u w:val="none"/>
          <w:lang w:val="en-US" w:eastAsia="ru-RU"/>
        </w:rPr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b w:val="false"/>
          <w:b w:val="false"/>
          <w:bCs w:val="false"/>
          <w:u w:val="none"/>
        </w:rPr>
      </w:pPr>
      <w:r>
        <w:rPr>
          <w:rFonts w:eastAsia="Times New Roman"/>
          <w:b w:val="false"/>
          <w:bCs w:val="false"/>
          <w:u w:val="none"/>
          <w:lang w:val="en-US" w:eastAsia="ru-RU"/>
        </w:rPr>
        <w:t xml:space="preserve">Kulinich A.V., Ischenko A. A., Chibisov A. K., Zakharova G. V. “Effect of electronic asymmetry and the polymethine chain on photoprocesses of merocyanine dyes.” // </w:t>
      </w:r>
      <w:r>
        <w:rPr>
          <w:rFonts w:eastAsia="Times New Roman"/>
          <w:b w:val="false"/>
          <w:bCs w:val="false"/>
          <w:i/>
          <w:u w:val="none"/>
          <w:lang w:val="en-US" w:eastAsia="ru-RU"/>
        </w:rPr>
        <w:t>J. Photochem. Photobiol. A</w:t>
      </w:r>
      <w:r>
        <w:rPr>
          <w:rFonts w:eastAsia="Times New Roman"/>
          <w:b w:val="false"/>
          <w:bCs w:val="false"/>
          <w:u w:val="none"/>
          <w:lang w:val="en-US" w:eastAsia="ru-RU"/>
        </w:rPr>
        <w:t xml:space="preserve"> – 2014. – V. 274. – P. 91-97. 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2013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numPr>
          <w:ilvl w:val="0"/>
          <w:numId w:val="1"/>
        </w:numPr>
        <w:spacing w:lineRule="auto" w:line="240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Захарова Г.В., Чибисов А.К.," Первичные процессы в фотосенсибилизированной димерами тиацианинов реакции восстановления п-нитроацетофенона в воде" //Химия высоких энергий. -2013, Т.47,  С. 471-476.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numPr>
          <w:ilvl w:val="0"/>
          <w:numId w:val="1"/>
        </w:numPr>
        <w:spacing w:lineRule="auto" w:line="240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Захарова Г.В., Чибисов А.К., Сажников В.А., Кононевич Ю.Н., Музафаров А.М., Алфимов М.В." Фотодеградация дибензоилметаната дифторида бора в растворах." // Химия высоких энергий. -2013- Т.47,  С. 477-480.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2012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>
          <w:rFonts w:cs="Symbol"/>
        </w:rPr>
      </w:pPr>
      <w:r>
        <w:rPr>
          <w:rFonts w:cs="Symbol"/>
          <w:b w:val="false"/>
          <w:bCs w:val="false"/>
          <w:u w:val="none"/>
          <w:lang w:val="en-US"/>
        </w:rPr>
        <w:t xml:space="preserve">A. K. Chibisov, G. V. Zakharova. «Pathways of electron transfer photosensitized by thiacyanine dimers» // </w:t>
      </w:r>
      <w:r>
        <w:rPr>
          <w:rFonts w:cs="Symbol"/>
          <w:b w:val="false"/>
          <w:bCs w:val="false"/>
          <w:i/>
          <w:u w:val="none"/>
          <w:lang w:val="en-US"/>
        </w:rPr>
        <w:t>Photochem. Photobiol. Sci</w:t>
      </w:r>
      <w:r>
        <w:rPr>
          <w:rFonts w:cs="Symbol"/>
          <w:b w:val="false"/>
          <w:bCs w:val="false"/>
          <w:i/>
          <w:u w:val="none"/>
        </w:rPr>
        <w:t>.</w:t>
      </w:r>
      <w:r>
        <w:rPr>
          <w:rFonts w:cs="Symbol"/>
          <w:b w:val="false"/>
          <w:bCs w:val="false"/>
          <w:u w:val="none"/>
        </w:rPr>
        <w:t xml:space="preserve"> – 2012. - </w:t>
      </w:r>
      <w:r>
        <w:rPr>
          <w:rFonts w:cs="Symbol"/>
          <w:b w:val="false"/>
          <w:bCs w:val="false"/>
          <w:u w:val="none"/>
          <w:lang w:val="en-US"/>
        </w:rPr>
        <w:t>V</w:t>
      </w:r>
      <w:r>
        <w:rPr>
          <w:rFonts w:cs="Symbol"/>
          <w:b w:val="false"/>
          <w:bCs w:val="false"/>
          <w:u w:val="none"/>
        </w:rPr>
        <w:t xml:space="preserve">. 11. - </w:t>
      </w:r>
      <w:r>
        <w:rPr>
          <w:rFonts w:cs="Symbol"/>
          <w:b w:val="false"/>
          <w:bCs w:val="false"/>
          <w:u w:val="none"/>
          <w:lang w:val="en-US"/>
        </w:rPr>
        <w:t>P</w:t>
      </w:r>
      <w:r>
        <w:rPr>
          <w:rFonts w:cs="Symbol"/>
          <w:b w:val="false"/>
          <w:bCs w:val="false"/>
          <w:u w:val="none"/>
        </w:rPr>
        <w:t xml:space="preserve">. 893–897. 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2010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numPr>
          <w:ilvl w:val="0"/>
          <w:numId w:val="1"/>
        </w:numPr>
        <w:spacing w:lineRule="auto" w:line="240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Г.В. Захарова, Д.А. Возняк, А.К. Чибисов, О.В. Харитонова, М.А. Грин, К.О. Семенихин, А.Ф. Миронов «Первичные фотопроцессы в диадах на основе индокарбоцианиновых красителей и хлорина е</w:t>
      </w:r>
      <w:r>
        <w:rPr>
          <w:b w:val="false"/>
          <w:bCs w:val="false"/>
          <w:u w:val="none"/>
          <w:vertAlign w:val="subscript"/>
        </w:rPr>
        <w:t>6</w:t>
      </w:r>
      <w:r>
        <w:rPr>
          <w:b w:val="false"/>
          <w:bCs w:val="false"/>
          <w:u w:val="none"/>
        </w:rPr>
        <w:t xml:space="preserve">» // </w:t>
      </w:r>
      <w:r>
        <w:rPr>
          <w:b w:val="false"/>
          <w:bCs w:val="false"/>
          <w:i/>
          <w:u w:val="none"/>
        </w:rPr>
        <w:t>Химия высоких энергий</w:t>
      </w:r>
      <w:r>
        <w:rPr>
          <w:b w:val="false"/>
          <w:bCs w:val="false"/>
          <w:u w:val="none"/>
        </w:rPr>
        <w:t>, Т.44, № 1, 2010, с 33-53.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en-US" w:eastAsia="zh-CN" w:bidi="hi-IN"/>
    </w:rPr>
  </w:style>
  <w:style w:type="character" w:styleId="WW8Num30z0">
    <w:name w:val="WW8Num30z0"/>
    <w:qFormat/>
    <w:rPr>
      <w:b w:val="false"/>
      <w:i w:val="false"/>
      <w:sz w:val="24"/>
      <w:szCs w:val="24"/>
      <w:highlight w:val="yellow"/>
      <w:lang w:val="en-US"/>
    </w:rPr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ListLabel1">
    <w:name w:val="ListLabel 1"/>
    <w:qFormat/>
    <w:rPr>
      <w:b w:val="false"/>
      <w:i w:val="false"/>
      <w:sz w:val="24"/>
      <w:szCs w:val="24"/>
      <w:highlight w:val="yellow"/>
      <w:lang w:val="en-US"/>
    </w:rPr>
  </w:style>
  <w:style w:type="character" w:styleId="WW8Num2z0">
    <w:name w:val="WW8Num2z0"/>
    <w:qFormat/>
    <w:rPr>
      <w:rFonts w:eastAsia="Times New Roman" w:cs="Symbol"/>
      <w:iCs/>
      <w:szCs w:val="24"/>
      <w:lang w:val="en-US" w:eastAsia="ru-RU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ListLabel2">
    <w:name w:val="ListLabel 2"/>
    <w:qFormat/>
    <w:rPr>
      <w:b w:val="false"/>
      <w:i w:val="false"/>
      <w:sz w:val="24"/>
      <w:szCs w:val="24"/>
      <w:highlight w:val="yellow"/>
      <w:lang w:val="en-US"/>
    </w:rPr>
  </w:style>
  <w:style w:type="character" w:styleId="ListLabel3">
    <w:name w:val="ListLabel 3"/>
    <w:qFormat/>
    <w:rPr>
      <w:rFonts w:eastAsia="Times New Roman" w:cs="Symbol"/>
      <w:iCs/>
      <w:szCs w:val="24"/>
      <w:lang w:val="en-US" w:eastAsia="ru-RU"/>
    </w:rPr>
  </w:style>
  <w:style w:type="character" w:styleId="ListLabel4">
    <w:name w:val="ListLabel 4"/>
    <w:qFormat/>
    <w:rPr>
      <w:b w:val="false"/>
      <w:i w:val="false"/>
      <w:sz w:val="24"/>
      <w:szCs w:val="24"/>
      <w:highlight w:val="yellow"/>
      <w:lang w:val="en-US"/>
    </w:rPr>
  </w:style>
  <w:style w:type="character" w:styleId="ListLabel5">
    <w:name w:val="ListLabel 5"/>
    <w:qFormat/>
    <w:rPr>
      <w:rFonts w:eastAsia="Times New Roman" w:cs="Symbol"/>
      <w:iCs/>
      <w:szCs w:val="24"/>
      <w:lang w:val="en-US" w:eastAsia="ru-RU"/>
    </w:rPr>
  </w:style>
  <w:style w:type="character" w:styleId="ListLabel6">
    <w:name w:val="ListLabel 6"/>
    <w:qFormat/>
    <w:rPr>
      <w:b w:val="false"/>
      <w:i w:val="false"/>
      <w:sz w:val="24"/>
      <w:szCs w:val="24"/>
      <w:highlight w:val="yellow"/>
      <w:lang w:val="en-US"/>
    </w:rPr>
  </w:style>
  <w:style w:type="character" w:styleId="ListLabel7">
    <w:name w:val="ListLabel 7"/>
    <w:qFormat/>
    <w:rPr>
      <w:rFonts w:eastAsia="Times New Roman" w:cs="Symbol"/>
      <w:iCs/>
      <w:szCs w:val="24"/>
      <w:lang w:val="en-US" w:eastAsia="ru-RU"/>
    </w:rPr>
  </w:style>
  <w:style w:type="character" w:styleId="ListLabel8">
    <w:name w:val="ListLabel 8"/>
    <w:qFormat/>
    <w:rPr>
      <w:b w:val="false"/>
      <w:i w:val="false"/>
      <w:sz w:val="24"/>
      <w:szCs w:val="24"/>
      <w:highlight w:val="yellow"/>
      <w:lang w:val="en-US"/>
    </w:rPr>
  </w:style>
  <w:style w:type="character" w:styleId="ListLabel9">
    <w:name w:val="ListLabel 9"/>
    <w:qFormat/>
    <w:rPr>
      <w:rFonts w:eastAsia="Times New Roman" w:cs="Symbol"/>
      <w:iCs/>
      <w:szCs w:val="24"/>
      <w:lang w:val="en-US" w:eastAsia="ru-RU"/>
    </w:rPr>
  </w:style>
  <w:style w:type="character" w:styleId="WW8Num3z0">
    <w:name w:val="WW8Num3z0"/>
    <w:qFormat/>
    <w:rPr>
      <w:rFonts w:eastAsia="Times New Roman"/>
      <w:lang w:val="en-US" w:eastAsia="ru-RU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ListLabel10">
    <w:name w:val="ListLabel 10"/>
    <w:qFormat/>
    <w:rPr>
      <w:b w:val="false"/>
      <w:i w:val="false"/>
      <w:sz w:val="24"/>
      <w:szCs w:val="24"/>
      <w:highlight w:val="yellow"/>
      <w:lang w:val="en-US"/>
    </w:rPr>
  </w:style>
  <w:style w:type="character" w:styleId="ListLabel11">
    <w:name w:val="ListLabel 11"/>
    <w:qFormat/>
    <w:rPr>
      <w:rFonts w:eastAsia="Times New Roman" w:cs="Symbol"/>
      <w:iCs/>
      <w:szCs w:val="24"/>
      <w:lang w:val="en-US" w:eastAsia="ru-RU"/>
    </w:rPr>
  </w:style>
  <w:style w:type="character" w:styleId="ListLabel12">
    <w:name w:val="ListLabel 12"/>
    <w:qFormat/>
    <w:rPr>
      <w:rFonts w:eastAsia="Times New Roman"/>
      <w:lang w:val="en-US" w:eastAsia="ru-RU"/>
    </w:rPr>
  </w:style>
  <w:style w:type="character" w:styleId="ListLabel13">
    <w:name w:val="ListLabel 13"/>
    <w:qFormat/>
    <w:rPr>
      <w:b w:val="false"/>
      <w:i w:val="false"/>
      <w:sz w:val="24"/>
      <w:szCs w:val="24"/>
      <w:highlight w:val="yellow"/>
      <w:lang w:val="en-US"/>
    </w:rPr>
  </w:style>
  <w:style w:type="character" w:styleId="ListLabel14">
    <w:name w:val="ListLabel 14"/>
    <w:qFormat/>
    <w:rPr>
      <w:rFonts w:eastAsia="Times New Roman" w:cs="Symbol"/>
      <w:iCs/>
      <w:szCs w:val="24"/>
      <w:lang w:val="en-US" w:eastAsia="ru-RU"/>
    </w:rPr>
  </w:style>
  <w:style w:type="character" w:styleId="ListLabel15">
    <w:name w:val="ListLabel 15"/>
    <w:qFormat/>
    <w:rPr>
      <w:rFonts w:eastAsia="Times New Roman"/>
      <w:lang w:val="en-US" w:eastAsia="ru-RU"/>
    </w:rPr>
  </w:style>
  <w:style w:type="character" w:styleId="ListLabel16">
    <w:name w:val="ListLabel 16"/>
    <w:qFormat/>
    <w:rPr>
      <w:b w:val="false"/>
      <w:i w:val="false"/>
      <w:sz w:val="24"/>
      <w:szCs w:val="24"/>
      <w:highlight w:val="yellow"/>
      <w:lang w:val="en-US"/>
    </w:rPr>
  </w:style>
  <w:style w:type="character" w:styleId="ListLabel17">
    <w:name w:val="ListLabel 17"/>
    <w:qFormat/>
    <w:rPr>
      <w:rFonts w:eastAsia="Times New Roman" w:cs="Symbol"/>
      <w:iCs/>
      <w:szCs w:val="24"/>
      <w:lang w:val="en-US" w:eastAsia="ru-RU"/>
    </w:rPr>
  </w:style>
  <w:style w:type="character" w:styleId="ListLabel18">
    <w:name w:val="ListLabel 18"/>
    <w:qFormat/>
    <w:rPr>
      <w:rFonts w:eastAsia="Times New Roman"/>
      <w:lang w:val="en-US" w:eastAsia="ru-RU"/>
    </w:rPr>
  </w:style>
  <w:style w:type="character" w:styleId="ListLabel19">
    <w:name w:val="ListLabel 19"/>
    <w:qFormat/>
    <w:rPr>
      <w:b w:val="false"/>
      <w:i w:val="false"/>
      <w:sz w:val="24"/>
      <w:szCs w:val="24"/>
      <w:highlight w:val="yellow"/>
      <w:lang w:val="en-US"/>
    </w:rPr>
  </w:style>
  <w:style w:type="character" w:styleId="ListLabel20">
    <w:name w:val="ListLabel 20"/>
    <w:qFormat/>
    <w:rPr>
      <w:rFonts w:eastAsia="Times New Roman" w:cs="Symbol"/>
      <w:iCs/>
      <w:szCs w:val="24"/>
      <w:lang w:val="en-US" w:eastAsia="ru-RU"/>
    </w:rPr>
  </w:style>
  <w:style w:type="character" w:styleId="ListLabel21">
    <w:name w:val="ListLabel 21"/>
    <w:qFormat/>
    <w:rPr>
      <w:rFonts w:eastAsia="Times New Roman"/>
      <w:lang w:val="en-US" w:eastAsia="ru-RU"/>
    </w:rPr>
  </w:style>
  <w:style w:type="character" w:styleId="ListLabel22">
    <w:name w:val="ListLabel 22"/>
    <w:qFormat/>
    <w:rPr>
      <w:b w:val="false"/>
      <w:i w:val="false"/>
      <w:sz w:val="24"/>
      <w:szCs w:val="24"/>
      <w:highlight w:val="yellow"/>
      <w:lang w:val="en-US"/>
    </w:rPr>
  </w:style>
  <w:style w:type="character" w:styleId="ListLabel23">
    <w:name w:val="ListLabel 23"/>
    <w:qFormat/>
    <w:rPr>
      <w:rFonts w:eastAsia="Times New Roman" w:cs="Symbol"/>
      <w:iCs/>
      <w:szCs w:val="24"/>
      <w:lang w:val="en-US" w:eastAsia="ru-RU"/>
    </w:rPr>
  </w:style>
  <w:style w:type="character" w:styleId="ListLabel24">
    <w:name w:val="ListLabel 24"/>
    <w:qFormat/>
    <w:rPr>
      <w:rFonts w:eastAsia="Times New Roman"/>
      <w:lang w:val="en-US" w:eastAsia="ru-RU"/>
    </w:rPr>
  </w:style>
  <w:style w:type="character" w:styleId="ListLabel25">
    <w:name w:val="ListLabel 25"/>
    <w:qFormat/>
    <w:rPr>
      <w:b w:val="false"/>
      <w:i w:val="false"/>
      <w:sz w:val="24"/>
      <w:szCs w:val="24"/>
      <w:highlight w:val="yellow"/>
      <w:lang w:val="en-US"/>
    </w:rPr>
  </w:style>
  <w:style w:type="character" w:styleId="ListLabel26">
    <w:name w:val="ListLabel 26"/>
    <w:qFormat/>
    <w:rPr>
      <w:rFonts w:eastAsia="Times New Roman" w:cs="Symbol"/>
      <w:iCs/>
      <w:szCs w:val="24"/>
      <w:lang w:val="en-US" w:eastAsia="ru-RU"/>
    </w:rPr>
  </w:style>
  <w:style w:type="character" w:styleId="ListLabel27">
    <w:name w:val="ListLabel 27"/>
    <w:qFormat/>
    <w:rPr>
      <w:rFonts w:eastAsia="Times New Roman"/>
      <w:lang w:val="en-US" w:eastAsia="ru-RU"/>
    </w:rPr>
  </w:style>
  <w:style w:type="character" w:styleId="ListLabel28">
    <w:name w:val="ListLabel 28"/>
    <w:qFormat/>
    <w:rPr>
      <w:b w:val="false"/>
      <w:i w:val="false"/>
      <w:sz w:val="24"/>
      <w:szCs w:val="24"/>
      <w:highlight w:val="yellow"/>
      <w:lang w:val="en-US"/>
    </w:rPr>
  </w:style>
  <w:style w:type="character" w:styleId="ListLabel29">
    <w:name w:val="ListLabel 29"/>
    <w:qFormat/>
    <w:rPr>
      <w:rFonts w:eastAsia="Times New Roman" w:cs="Symbol"/>
      <w:iCs/>
      <w:szCs w:val="24"/>
      <w:lang w:val="en-US" w:eastAsia="ru-RU"/>
    </w:rPr>
  </w:style>
  <w:style w:type="character" w:styleId="ListLabel30">
    <w:name w:val="ListLabel 30"/>
    <w:qFormat/>
    <w:rPr>
      <w:rFonts w:eastAsia="Times New Roman"/>
      <w:lang w:val="en-US" w:eastAsia="ru-RU"/>
    </w:rPr>
  </w:style>
  <w:style w:type="character" w:styleId="WW8Num14z0">
    <w:name w:val="WW8Num14z0"/>
    <w:qFormat/>
    <w:rPr>
      <w:rFonts w:ascii="Times New Roman" w:hAnsi="Times New Roman" w:eastAsia="Calibri" w:cs="Times New Roman"/>
      <w:iCs/>
      <w:spacing w:val="1"/>
      <w:sz w:val="24"/>
      <w:szCs w:val="24"/>
      <w:highlight w:val="red"/>
      <w:lang w:val="en-US"/>
    </w:rPr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ListLabel31">
    <w:name w:val="ListLabel 31"/>
    <w:qFormat/>
    <w:rPr>
      <w:b w:val="false"/>
      <w:i w:val="false"/>
      <w:sz w:val="24"/>
      <w:szCs w:val="24"/>
      <w:highlight w:val="yellow"/>
      <w:lang w:val="en-US"/>
    </w:rPr>
  </w:style>
  <w:style w:type="character" w:styleId="ListLabel32">
    <w:name w:val="ListLabel 32"/>
    <w:qFormat/>
    <w:rPr>
      <w:rFonts w:eastAsia="Times New Roman" w:cs="Symbol"/>
      <w:iCs/>
      <w:szCs w:val="24"/>
      <w:lang w:val="en-US" w:eastAsia="ru-RU"/>
    </w:rPr>
  </w:style>
  <w:style w:type="character" w:styleId="ListLabel33">
    <w:name w:val="ListLabel 33"/>
    <w:qFormat/>
    <w:rPr>
      <w:rFonts w:eastAsia="Times New Roman"/>
      <w:lang w:val="en-US" w:eastAsia="ru-RU"/>
    </w:rPr>
  </w:style>
  <w:style w:type="character" w:styleId="ListLabel34">
    <w:name w:val="ListLabel 34"/>
    <w:qFormat/>
    <w:rPr>
      <w:rFonts w:eastAsia="Calibri" w:cs="Times New Roman"/>
      <w:iCs/>
      <w:spacing w:val="1"/>
      <w:sz w:val="24"/>
      <w:szCs w:val="24"/>
      <w:highlight w:val="red"/>
      <w:lang w:val="en-US"/>
    </w:rPr>
  </w:style>
  <w:style w:type="character" w:styleId="ListLabel35">
    <w:name w:val="ListLabel 35"/>
    <w:qFormat/>
    <w:rPr>
      <w:b w:val="false"/>
      <w:i w:val="false"/>
      <w:sz w:val="24"/>
      <w:szCs w:val="24"/>
      <w:highlight w:val="yellow"/>
      <w:lang w:val="en-US"/>
    </w:rPr>
  </w:style>
  <w:style w:type="character" w:styleId="ListLabel36">
    <w:name w:val="ListLabel 36"/>
    <w:qFormat/>
    <w:rPr>
      <w:rFonts w:eastAsia="Times New Roman" w:cs="Symbol"/>
      <w:iCs/>
      <w:szCs w:val="24"/>
      <w:lang w:val="en-US" w:eastAsia="ru-RU"/>
    </w:rPr>
  </w:style>
  <w:style w:type="character" w:styleId="ListLabel37">
    <w:name w:val="ListLabel 37"/>
    <w:qFormat/>
    <w:rPr>
      <w:rFonts w:eastAsia="Times New Roman"/>
      <w:lang w:val="en-US" w:eastAsia="ru-RU"/>
    </w:rPr>
  </w:style>
  <w:style w:type="character" w:styleId="ListLabel38">
    <w:name w:val="ListLabel 38"/>
    <w:qFormat/>
    <w:rPr>
      <w:b w:val="false"/>
      <w:i w:val="false"/>
      <w:sz w:val="24"/>
      <w:szCs w:val="24"/>
      <w:highlight w:val="yellow"/>
      <w:lang w:val="en-US"/>
    </w:rPr>
  </w:style>
  <w:style w:type="character" w:styleId="ListLabel39">
    <w:name w:val="ListLabel 39"/>
    <w:qFormat/>
    <w:rPr>
      <w:rFonts w:eastAsia="Times New Roman" w:cs="Symbol"/>
      <w:iCs/>
      <w:szCs w:val="24"/>
      <w:lang w:val="en-US" w:eastAsia="ru-RU"/>
    </w:rPr>
  </w:style>
  <w:style w:type="character" w:styleId="ListLabel40">
    <w:name w:val="ListLabel 40"/>
    <w:qFormat/>
    <w:rPr>
      <w:rFonts w:eastAsia="Times New Roman"/>
      <w:lang w:val="en-US" w:eastAsia="ru-RU"/>
    </w:rPr>
  </w:style>
  <w:style w:type="character" w:styleId="ListLabel41">
    <w:name w:val="ListLabel 41"/>
    <w:qFormat/>
    <w:rPr>
      <w:b w:val="false"/>
      <w:i w:val="false"/>
      <w:sz w:val="24"/>
      <w:szCs w:val="24"/>
      <w:highlight w:val="yellow"/>
      <w:lang w:val="en-US"/>
    </w:rPr>
  </w:style>
  <w:style w:type="character" w:styleId="ListLabel42">
    <w:name w:val="ListLabel 42"/>
    <w:qFormat/>
    <w:rPr>
      <w:rFonts w:eastAsia="Times New Roman" w:cs="Symbol"/>
      <w:iCs/>
      <w:szCs w:val="24"/>
      <w:lang w:val="en-US" w:eastAsia="ru-RU"/>
    </w:rPr>
  </w:style>
  <w:style w:type="character" w:styleId="ListLabel43">
    <w:name w:val="ListLabel 43"/>
    <w:qFormat/>
    <w:rPr>
      <w:rFonts w:eastAsia="Times New Roman"/>
      <w:lang w:val="en-US" w:eastAsia="ru-RU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Style14">
    <w:name w:val="Абзац списка"/>
    <w:basedOn w:val="Normal"/>
    <w:qFormat/>
    <w:pPr>
      <w:spacing w:before="0" w:after="200"/>
      <w:ind w:left="720" w:hanging="0"/>
      <w:contextualSpacing/>
    </w:pPr>
    <w:rPr/>
  </w:style>
  <w:style w:type="numbering" w:styleId="WW8Num30">
    <w:name w:val="WW8Num30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14">
    <w:name w:val="WW8Num1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LibreOffice/5.1.4.2$Linux_X86_64 LibreOffice_project/10m0$Build-2</Application>
  <Pages>2</Pages>
  <Words>695</Words>
  <Characters>3979</Characters>
  <CharactersWithSpaces>4676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2017-05-02T13:11:44Z</dcterms:created>
  <dc:creator/>
  <dc:description/>
  <dc:language>en-US</dc:language>
  <cp:lastModifiedBy/>
  <dcterms:modified xsi:type="dcterms:W3CDTF">2017-05-18T11:53:23Z</dcterms:modified>
  <cp:revision>18</cp:revision>
  <dc:subject/>
  <dc:title/>
</cp:coreProperties>
</file>