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786" w:hanging="0"/>
        <w:rPr>
          <w:b w:val="false"/>
          <w:b w:val="false"/>
          <w:bCs w:val="false"/>
        </w:rPr>
      </w:pPr>
      <w:r>
        <w:rPr>
          <w:b w:val="false"/>
          <w:bCs w:val="false"/>
        </w:rPr>
        <w:t>2016</w:t>
      </w:r>
    </w:p>
    <w:p>
      <w:pPr>
        <w:pStyle w:val="Normal"/>
        <w:numPr>
          <w:ilvl w:val="0"/>
          <w:numId w:val="0"/>
        </w:numPr>
        <w:ind w:left="786" w:hanging="0"/>
        <w:rPr>
          <w:b w:val="false"/>
          <w:b w:val="false"/>
          <w:bCs w:val="false"/>
        </w:rPr>
      </w:pPr>
      <w:r>
        <w:rPr>
          <w:b w:val="false"/>
          <w:bCs w:val="false"/>
        </w:rPr>
      </w:r>
    </w:p>
    <w:p>
      <w:pPr>
        <w:pStyle w:val="Style14"/>
        <w:widowControl w:val="false"/>
        <w:numPr>
          <w:ilvl w:val="0"/>
          <w:numId w:val="1"/>
        </w:numPr>
        <w:spacing w:lineRule="auto" w:line="240" w:before="0" w:after="120"/>
        <w:contextualSpacing/>
        <w:rPr>
          <w:b w:val="false"/>
          <w:b w:val="false"/>
          <w:bCs w:val="false"/>
        </w:rPr>
      </w:pPr>
      <w:r>
        <w:rPr>
          <w:rFonts w:cs="Times New Roman" w:ascii="Times New Roman" w:hAnsi="Times New Roman"/>
          <w:b w:val="false"/>
          <w:bCs w:val="false"/>
          <w:spacing w:val="1"/>
          <w:sz w:val="24"/>
          <w:szCs w:val="24"/>
        </w:rPr>
        <w:t xml:space="preserve">Фотофизические свойства водных растворов стирилового красителя в присутствии кукурбит[n]урила (n = 5, 6, 8) / А. Д. Свирида, Д. А. Иванов, Н. Х. Петров, А. В. Ведерников, С. П. Громов, М. В. Алфимов // Химия высоких энергий. </w:t>
      </w:r>
      <w:r>
        <w:rPr>
          <w:rFonts w:cs="Times New Roman" w:ascii="Times New Roman" w:hAnsi="Times New Roman"/>
          <w:b w:val="false"/>
          <w:bCs w:val="false"/>
          <w:sz w:val="24"/>
          <w:szCs w:val="24"/>
        </w:rPr>
        <w:t>—</w:t>
      </w:r>
      <w:r>
        <w:rPr>
          <w:rFonts w:cs="Times New Roman" w:ascii="Times New Roman" w:hAnsi="Times New Roman"/>
          <w:b w:val="false"/>
          <w:bCs w:val="false"/>
          <w:spacing w:val="1"/>
          <w:sz w:val="24"/>
          <w:szCs w:val="24"/>
        </w:rPr>
        <w:t xml:space="preserve"> 2016. </w:t>
      </w:r>
      <w:r>
        <w:rPr>
          <w:rFonts w:cs="Times New Roman" w:ascii="Times New Roman" w:hAnsi="Times New Roman"/>
          <w:b w:val="false"/>
          <w:bCs w:val="false"/>
          <w:sz w:val="24"/>
          <w:szCs w:val="24"/>
        </w:rPr>
        <w:t>—</w:t>
      </w:r>
      <w:r>
        <w:rPr>
          <w:rFonts w:cs="Times New Roman" w:ascii="Times New Roman" w:hAnsi="Times New Roman"/>
          <w:b w:val="false"/>
          <w:bCs w:val="false"/>
          <w:spacing w:val="1"/>
          <w:sz w:val="24"/>
          <w:szCs w:val="24"/>
        </w:rPr>
        <w:t xml:space="preserve"> Т. 50. </w:t>
      </w:r>
      <w:r>
        <w:rPr>
          <w:rFonts w:cs="Times New Roman" w:ascii="Times New Roman" w:hAnsi="Times New Roman"/>
          <w:b w:val="false"/>
          <w:bCs w:val="false"/>
          <w:sz w:val="24"/>
          <w:szCs w:val="24"/>
        </w:rPr>
        <w:t>—</w:t>
      </w:r>
      <w:r>
        <w:rPr>
          <w:rFonts w:cs="Times New Roman" w:ascii="Times New Roman" w:hAnsi="Times New Roman"/>
          <w:b w:val="false"/>
          <w:bCs w:val="false"/>
          <w:spacing w:val="1"/>
          <w:sz w:val="24"/>
          <w:szCs w:val="24"/>
        </w:rPr>
        <w:t xml:space="preserve"> </w:t>
      </w:r>
      <w:r>
        <w:rPr>
          <w:rFonts w:cs="Times New Roman" w:ascii="Times New Roman" w:hAnsi="Times New Roman"/>
          <w:b w:val="false"/>
          <w:bCs w:val="false"/>
          <w:spacing w:val="2"/>
          <w:sz w:val="24"/>
          <w:szCs w:val="24"/>
        </w:rPr>
        <w:t>В</w:t>
      </w:r>
      <w:r>
        <w:rPr>
          <w:rFonts w:cs="Times New Roman" w:ascii="Times New Roman" w:hAnsi="Times New Roman"/>
          <w:b w:val="false"/>
          <w:bCs w:val="false"/>
          <w:spacing w:val="1"/>
          <w:sz w:val="24"/>
          <w:szCs w:val="24"/>
        </w:rPr>
        <w:t>ы</w:t>
      </w:r>
      <w:r>
        <w:rPr>
          <w:rFonts w:cs="Times New Roman" w:ascii="Times New Roman" w:hAnsi="Times New Roman"/>
          <w:b w:val="false"/>
          <w:bCs w:val="false"/>
          <w:spacing w:val="-1"/>
          <w:sz w:val="24"/>
          <w:szCs w:val="24"/>
        </w:rPr>
        <w:t>п</w:t>
      </w:r>
      <w:r>
        <w:rPr>
          <w:rFonts w:cs="Times New Roman" w:ascii="Times New Roman" w:hAnsi="Times New Roman"/>
          <w:b w:val="false"/>
          <w:bCs w:val="false"/>
          <w:sz w:val="24"/>
          <w:szCs w:val="24"/>
        </w:rPr>
        <w:t>.</w:t>
      </w:r>
      <w:r>
        <w:rPr>
          <w:rFonts w:cs="Times New Roman" w:ascii="Times New Roman" w:hAnsi="Times New Roman"/>
          <w:b w:val="false"/>
          <w:bCs w:val="false"/>
          <w:spacing w:val="-3"/>
          <w:sz w:val="24"/>
          <w:szCs w:val="24"/>
        </w:rPr>
        <w:t xml:space="preserve"> </w:t>
      </w:r>
      <w:r>
        <w:rPr>
          <w:rFonts w:cs="Times New Roman" w:ascii="Times New Roman" w:hAnsi="Times New Roman"/>
          <w:b w:val="false"/>
          <w:bCs w:val="false"/>
          <w:spacing w:val="1"/>
          <w:sz w:val="24"/>
          <w:szCs w:val="24"/>
        </w:rPr>
        <w:t xml:space="preserve">1. </w:t>
      </w:r>
      <w:r>
        <w:rPr>
          <w:rFonts w:cs="Times New Roman" w:ascii="Times New Roman" w:hAnsi="Times New Roman"/>
          <w:b w:val="false"/>
          <w:bCs w:val="false"/>
          <w:sz w:val="24"/>
          <w:szCs w:val="24"/>
        </w:rPr>
        <w:t>—</w:t>
      </w:r>
      <w:r>
        <w:rPr>
          <w:rFonts w:cs="Times New Roman" w:ascii="Times New Roman" w:hAnsi="Times New Roman"/>
          <w:b w:val="false"/>
          <w:bCs w:val="false"/>
          <w:spacing w:val="1"/>
          <w:sz w:val="24"/>
          <w:szCs w:val="24"/>
        </w:rPr>
        <w:t xml:space="preserve"> С. 23</w:t>
      </w:r>
      <w:r>
        <w:rPr>
          <w:rFonts w:cs="Times New Roman" w:ascii="Times New Roman" w:hAnsi="Times New Roman"/>
          <w:b w:val="false"/>
          <w:bCs w:val="false"/>
          <w:sz w:val="24"/>
          <w:szCs w:val="24"/>
        </w:rPr>
        <w:t>—</w:t>
      </w:r>
      <w:r>
        <w:rPr>
          <w:rFonts w:cs="Times New Roman" w:ascii="Times New Roman" w:hAnsi="Times New Roman"/>
          <w:b w:val="false"/>
          <w:bCs w:val="false"/>
          <w:spacing w:val="1"/>
          <w:sz w:val="24"/>
          <w:szCs w:val="24"/>
        </w:rPr>
        <w:t xml:space="preserve">28. </w:t>
      </w:r>
    </w:p>
    <w:p>
      <w:pPr>
        <w:pStyle w:val="Style14"/>
        <w:widowControl w:val="false"/>
        <w:numPr>
          <w:ilvl w:val="0"/>
          <w:numId w:val="0"/>
        </w:numPr>
        <w:spacing w:lineRule="auto" w:line="240" w:before="0" w:after="120"/>
        <w:ind w:left="1506" w:hanging="0"/>
        <w:contextualSpacing/>
        <w:rPr>
          <w:rFonts w:ascii="Times New Roman" w:hAnsi="Times New Roman" w:cs="Times New Roman"/>
          <w:b w:val="false"/>
          <w:b w:val="false"/>
          <w:bCs w:val="false"/>
          <w:spacing w:val="1"/>
          <w:sz w:val="24"/>
          <w:szCs w:val="24"/>
        </w:rPr>
      </w:pPr>
      <w:r>
        <w:rPr>
          <w:rFonts w:cs="Times New Roman" w:ascii="Times New Roman" w:hAnsi="Times New Roman"/>
          <w:b w:val="false"/>
          <w:bCs w:val="false"/>
          <w:spacing w:val="1"/>
          <w:sz w:val="24"/>
          <w:szCs w:val="24"/>
        </w:rPr>
      </w:r>
    </w:p>
    <w:p>
      <w:pPr>
        <w:pStyle w:val="Style14"/>
        <w:widowControl w:val="false"/>
        <w:numPr>
          <w:ilvl w:val="0"/>
          <w:numId w:val="1"/>
        </w:numPr>
        <w:spacing w:lineRule="auto" w:line="240" w:before="0" w:after="120"/>
        <w:contextualSpacing/>
        <w:rPr>
          <w:b w:val="false"/>
          <w:b w:val="false"/>
          <w:bCs w:val="false"/>
        </w:rPr>
      </w:pPr>
      <w:r>
        <w:rPr>
          <w:rFonts w:cs="Times New Roman" w:ascii="Times New Roman" w:hAnsi="Times New Roman"/>
          <w:b w:val="false"/>
          <w:bCs w:val="false"/>
          <w:spacing w:val="1"/>
          <w:sz w:val="24"/>
          <w:szCs w:val="24"/>
          <w:lang w:val="en-US"/>
        </w:rPr>
        <w:t xml:space="preserve">Ultrafast relaxation of electronically-excited states of a styryl dye in the cavity of cucurbit[n]urils (n = 6,7) / N. Kh. Petrov, D. A. Ivanov, Yu. A. Shandarov, I. V. Kryukov, A. A. Ivanov, M. V. Alfimov, N. A. Lobova, S. P. Gromov // Chem. </w:t>
      </w:r>
      <w:r>
        <w:rPr>
          <w:rFonts w:cs="Times New Roman" w:ascii="Times New Roman" w:hAnsi="Times New Roman"/>
          <w:b w:val="false"/>
          <w:bCs w:val="false"/>
          <w:spacing w:val="1"/>
          <w:sz w:val="24"/>
          <w:szCs w:val="24"/>
        </w:rPr>
        <w:t xml:space="preserve">Phys. </w:t>
      </w:r>
      <w:r>
        <w:rPr>
          <w:rFonts w:cs="Times New Roman" w:ascii="Times New Roman" w:hAnsi="Times New Roman"/>
          <w:b w:val="false"/>
          <w:bCs w:val="false"/>
          <w:spacing w:val="1"/>
          <w:sz w:val="24"/>
          <w:szCs w:val="24"/>
          <w:lang w:val="en-US"/>
        </w:rPr>
        <w:t xml:space="preserve">Lett. — 2016. — V. 647. — P. 157—160. </w:t>
      </w:r>
    </w:p>
    <w:p>
      <w:pPr>
        <w:pStyle w:val="Style14"/>
        <w:widowControl w:val="false"/>
        <w:numPr>
          <w:ilvl w:val="0"/>
          <w:numId w:val="0"/>
        </w:numPr>
        <w:spacing w:lineRule="auto" w:line="240" w:before="0" w:after="120"/>
        <w:ind w:left="1506" w:hanging="0"/>
        <w:contextualSpacing/>
        <w:rPr>
          <w:rFonts w:ascii="Times New Roman" w:hAnsi="Times New Roman" w:cs="Times New Roman"/>
          <w:b w:val="false"/>
          <w:b w:val="false"/>
          <w:bCs w:val="false"/>
          <w:spacing w:val="1"/>
          <w:sz w:val="24"/>
          <w:szCs w:val="24"/>
          <w:lang w:val="en-US"/>
        </w:rPr>
      </w:pPr>
      <w:r>
        <w:rPr>
          <w:rFonts w:cs="Times New Roman" w:ascii="Times New Roman" w:hAnsi="Times New Roman"/>
          <w:b w:val="false"/>
          <w:bCs w:val="false"/>
          <w:spacing w:val="1"/>
          <w:sz w:val="24"/>
          <w:szCs w:val="24"/>
          <w:lang w:val="en-US"/>
        </w:rPr>
      </w:r>
    </w:p>
    <w:p>
      <w:pPr>
        <w:pStyle w:val="Style14"/>
        <w:widowControl w:val="false"/>
        <w:numPr>
          <w:ilvl w:val="0"/>
          <w:numId w:val="1"/>
        </w:numPr>
        <w:spacing w:lineRule="auto" w:line="240" w:before="0" w:after="0"/>
        <w:contextualSpacing/>
        <w:rPr>
          <w:b w:val="false"/>
          <w:b w:val="false"/>
          <w:bCs w:val="false"/>
        </w:rPr>
      </w:pPr>
      <w:r>
        <w:rPr>
          <w:rFonts w:cs="Times New Roman" w:ascii="Times New Roman" w:hAnsi="Times New Roman"/>
          <w:b w:val="false"/>
          <w:bCs w:val="false"/>
          <w:spacing w:val="1"/>
          <w:sz w:val="24"/>
          <w:szCs w:val="24"/>
          <w:lang w:val="en-US"/>
        </w:rPr>
        <w:t>Адсорбция комплексов стирилового красителя с кукурбит[6]урилом на поверхность наночастиц серебра./ А.Д. Свирида, Д.А. Иванов, Н.Х. Петров, М.В. Алфимов, Е.В. Стенина, В.К. Лауринавичюте, Л.Н.Свиридова, // Российские нанотехнологии. – в печати.</w:t>
      </w:r>
    </w:p>
    <w:p>
      <w:pPr>
        <w:pStyle w:val="Style14"/>
        <w:widowControl w:val="false"/>
        <w:numPr>
          <w:ilvl w:val="0"/>
          <w:numId w:val="0"/>
        </w:numPr>
        <w:spacing w:lineRule="auto" w:line="240" w:before="0" w:after="0"/>
        <w:ind w:left="1506" w:hanging="0"/>
        <w:contextualSpacing/>
        <w:rPr>
          <w:rFonts w:ascii="Times New Roman" w:hAnsi="Times New Roman" w:cs="Times New Roman"/>
          <w:b w:val="false"/>
          <w:b w:val="false"/>
          <w:bCs w:val="false"/>
          <w:spacing w:val="1"/>
          <w:sz w:val="24"/>
          <w:szCs w:val="24"/>
          <w:lang w:val="en-US"/>
        </w:rPr>
      </w:pPr>
      <w:r>
        <w:rPr>
          <w:rFonts w:cs="Times New Roman" w:ascii="Times New Roman" w:hAnsi="Times New Roman"/>
          <w:b w:val="false"/>
          <w:bCs w:val="false"/>
          <w:spacing w:val="1"/>
          <w:sz w:val="24"/>
          <w:szCs w:val="24"/>
          <w:lang w:val="en-US"/>
        </w:rPr>
      </w:r>
    </w:p>
    <w:p>
      <w:pPr>
        <w:pStyle w:val="Style14"/>
        <w:widowControl w:val="false"/>
        <w:numPr>
          <w:ilvl w:val="0"/>
          <w:numId w:val="1"/>
        </w:numPr>
        <w:spacing w:lineRule="auto" w:line="240" w:before="0" w:after="0"/>
        <w:contextualSpacing/>
        <w:rPr>
          <w:b w:val="false"/>
          <w:b w:val="false"/>
          <w:bCs w:val="false"/>
        </w:rPr>
      </w:pPr>
      <w:r>
        <w:rPr>
          <w:rFonts w:cs="Times New Roman" w:ascii="Times New Roman" w:hAnsi="Times New Roman"/>
          <w:b w:val="false"/>
          <w:bCs w:val="false"/>
          <w:spacing w:val="1"/>
          <w:sz w:val="24"/>
          <w:szCs w:val="24"/>
          <w:lang w:val="en-US"/>
        </w:rPr>
        <w:t xml:space="preserve">An ultrafast pre-organization of the [2 +2] photocycloaddition of styryl dyes in 1: 2 host- guest complexes with cucurbit[8]urils. </w:t>
      </w:r>
      <w:bookmarkStart w:id="0" w:name="OLE_LINK79"/>
      <w:r>
        <w:rPr>
          <w:rFonts w:cs="Times New Roman" w:ascii="Times New Roman" w:hAnsi="Times New Roman"/>
          <w:b w:val="false"/>
          <w:bCs w:val="false"/>
          <w:spacing w:val="1"/>
          <w:sz w:val="24"/>
          <w:szCs w:val="24"/>
          <w:lang w:val="en-US"/>
        </w:rPr>
        <w:t>/</w:t>
      </w:r>
      <w:bookmarkEnd w:id="0"/>
      <w:r>
        <w:rPr>
          <w:rFonts w:cs="Times New Roman" w:ascii="Times New Roman" w:hAnsi="Times New Roman"/>
          <w:b w:val="false"/>
          <w:bCs w:val="false"/>
          <w:spacing w:val="1"/>
          <w:sz w:val="24"/>
          <w:szCs w:val="24"/>
          <w:lang w:val="en-US"/>
        </w:rPr>
        <w:t xml:space="preserve"> N. Kh. Petrov , D.A. Ivanov, Yu.A. Shandarov, I.V. Kryukov, A.D. Svirida, V.G. Avakyan, M.V. Alfimov, N.A. Lobova, S.P. Gromov </w:t>
      </w:r>
      <w:bookmarkStart w:id="1" w:name="OLE_LINK82"/>
      <w:bookmarkStart w:id="2" w:name="OLE_LINK81"/>
      <w:bookmarkStart w:id="3" w:name="OLE_LINK80"/>
      <w:r>
        <w:rPr>
          <w:rFonts w:cs="Times New Roman" w:ascii="Times New Roman" w:hAnsi="Times New Roman"/>
          <w:b w:val="false"/>
          <w:bCs w:val="false"/>
          <w:spacing w:val="1"/>
          <w:sz w:val="24"/>
          <w:szCs w:val="24"/>
          <w:lang w:val="en-US"/>
        </w:rPr>
        <w:t xml:space="preserve">// Chem Phys Letters. </w:t>
      </w:r>
      <w:bookmarkEnd w:id="1"/>
      <w:bookmarkEnd w:id="2"/>
      <w:bookmarkEnd w:id="3"/>
      <w:r>
        <w:rPr>
          <w:rFonts w:cs="Times New Roman" w:ascii="Times New Roman" w:hAnsi="Times New Roman"/>
          <w:b w:val="false"/>
          <w:bCs w:val="false"/>
          <w:spacing w:val="1"/>
          <w:sz w:val="24"/>
          <w:szCs w:val="24"/>
          <w:lang w:val="en-US"/>
        </w:rPr>
        <w:t>- в печати.</w:t>
      </w:r>
    </w:p>
    <w:p>
      <w:pPr>
        <w:pStyle w:val="Normal"/>
        <w:numPr>
          <w:ilvl w:val="0"/>
          <w:numId w:val="0"/>
        </w:numPr>
        <w:ind w:left="786" w:hanging="0"/>
        <w:rPr>
          <w:b w:val="false"/>
          <w:b w:val="false"/>
          <w:bCs w:val="false"/>
        </w:rPr>
      </w:pPr>
      <w:r>
        <w:rPr>
          <w:b w:val="false"/>
          <w:bCs w:val="false"/>
        </w:rPr>
      </w:r>
    </w:p>
    <w:p>
      <w:pPr>
        <w:pStyle w:val="Style14"/>
        <w:widowControl w:val="false"/>
        <w:numPr>
          <w:ilvl w:val="0"/>
          <w:numId w:val="1"/>
        </w:numPr>
        <w:spacing w:lineRule="auto" w:line="240" w:before="0" w:after="0"/>
        <w:contextualSpacing/>
        <w:rPr>
          <w:b w:val="false"/>
          <w:b w:val="false"/>
          <w:bCs w:val="false"/>
        </w:rPr>
      </w:pPr>
      <w:r>
        <w:rPr>
          <w:rFonts w:cs="Times New Roman" w:ascii="Times New Roman" w:hAnsi="Times New Roman"/>
          <w:b w:val="false"/>
          <w:bCs w:val="false"/>
          <w:spacing w:val="1"/>
          <w:sz w:val="24"/>
          <w:szCs w:val="24"/>
          <w:lang w:val="en-US"/>
        </w:rPr>
        <w:t>The fluorescence study of a styryl dye supramolecular complexes with cucurbit[6]uril and cucurbit[7]uril included in gels / A.V. Koshkin, N.A. Aleksandrova, D.A. Ivanov // J Sol-Gel Sci Technol. – 2017. – V. 81. – P. 303–310.</w:t>
      </w:r>
    </w:p>
    <w:p>
      <w:pPr>
        <w:pStyle w:val="Style14"/>
        <w:widowControl w:val="false"/>
        <w:numPr>
          <w:ilvl w:val="0"/>
          <w:numId w:val="0"/>
        </w:numPr>
        <w:spacing w:lineRule="auto" w:line="240" w:before="0" w:after="0"/>
        <w:ind w:left="1506" w:hanging="0"/>
        <w:contextualSpacing/>
        <w:rPr>
          <w:rFonts w:ascii="Times New Roman" w:hAnsi="Times New Roman" w:cs="Times New Roman"/>
          <w:b w:val="false"/>
          <w:b w:val="false"/>
          <w:bCs w:val="false"/>
          <w:spacing w:val="1"/>
          <w:sz w:val="24"/>
          <w:szCs w:val="24"/>
          <w:lang w:val="en-US"/>
        </w:rPr>
      </w:pPr>
      <w:r>
        <w:rPr>
          <w:rFonts w:cs="Times New Roman" w:ascii="Times New Roman" w:hAnsi="Times New Roman"/>
          <w:b w:val="false"/>
          <w:bCs w:val="false"/>
          <w:spacing w:val="1"/>
          <w:sz w:val="24"/>
          <w:szCs w:val="24"/>
          <w:lang w:val="en-US"/>
        </w:rPr>
      </w:r>
    </w:p>
    <w:p>
      <w:pPr>
        <w:pStyle w:val="Style14"/>
        <w:widowControl w:val="false"/>
        <w:numPr>
          <w:ilvl w:val="0"/>
          <w:numId w:val="0"/>
        </w:numPr>
        <w:spacing w:lineRule="auto" w:line="240" w:before="0" w:after="0"/>
        <w:ind w:left="1506" w:hanging="0"/>
        <w:contextualSpacing/>
        <w:rPr>
          <w:rFonts w:ascii="Times New Roman" w:hAnsi="Times New Roman" w:cs="Times New Roman"/>
          <w:b w:val="false"/>
          <w:b w:val="false"/>
          <w:bCs w:val="false"/>
          <w:spacing w:val="1"/>
          <w:sz w:val="24"/>
          <w:szCs w:val="24"/>
          <w:lang w:val="en-US"/>
        </w:rPr>
      </w:pPr>
      <w:r>
        <w:rPr>
          <w:rFonts w:cs="Times New Roman" w:ascii="Times New Roman" w:hAnsi="Times New Roman"/>
          <w:b w:val="false"/>
          <w:bCs w:val="false"/>
          <w:spacing w:val="1"/>
          <w:sz w:val="24"/>
          <w:szCs w:val="24"/>
          <w:lang w:val="en-US"/>
        </w:rPr>
      </w:r>
    </w:p>
    <w:p>
      <w:pPr>
        <w:pStyle w:val="Style14"/>
        <w:widowControl w:val="false"/>
        <w:numPr>
          <w:ilvl w:val="0"/>
          <w:numId w:val="1"/>
        </w:numPr>
        <w:spacing w:lineRule="auto" w:line="240" w:before="0" w:after="0"/>
        <w:contextualSpacing/>
        <w:rPr>
          <w:rFonts w:ascii="Times New Roman" w:hAnsi="Times New Roman" w:cs="Times New Roman"/>
          <w:spacing w:val="1"/>
          <w:sz w:val="24"/>
          <w:szCs w:val="24"/>
          <w:lang w:val="en-US"/>
        </w:rPr>
      </w:pPr>
      <w:r>
        <w:rPr>
          <w:rFonts w:cs="Times New Roman" w:ascii="Times New Roman" w:hAnsi="Times New Roman"/>
          <w:b w:val="false"/>
          <w:bCs w:val="false"/>
          <w:spacing w:val="1"/>
          <w:sz w:val="24"/>
          <w:szCs w:val="24"/>
          <w:lang w:val="en-US"/>
        </w:rPr>
        <w:t>Время-разрешенная анизотропия флуоресценции комплексов стирилового красителя с кукурбитурилом. / Н. Х. Петров, Д. А. Иванов, И. В. Крюков, Ю. А. Шандаров, А. Д. Свирида, М. В. Алфимов //Химия высоких энергий. – 2017. – том 51. – № 1. – с. 77-79.</w:t>
      </w:r>
    </w:p>
    <w:p>
      <w:pPr>
        <w:pStyle w:val="Style14"/>
        <w:widowControl w:val="false"/>
        <w:numPr>
          <w:ilvl w:val="0"/>
          <w:numId w:val="0"/>
        </w:numPr>
        <w:spacing w:lineRule="auto" w:line="240" w:before="0" w:after="0"/>
        <w:ind w:left="1506" w:hanging="0"/>
        <w:contextualSpacing/>
        <w:rPr>
          <w:rFonts w:ascii="Times New Roman" w:hAnsi="Times New Roman" w:cs="Times New Roman"/>
          <w:b w:val="false"/>
          <w:b w:val="false"/>
          <w:bCs w:val="false"/>
          <w:spacing w:val="1"/>
          <w:sz w:val="24"/>
          <w:szCs w:val="24"/>
          <w:lang w:val="en-US"/>
        </w:rPr>
      </w:pPr>
      <w:r>
        <w:rPr>
          <w:rFonts w:cs="Times New Roman" w:ascii="Times New Roman" w:hAnsi="Times New Roman"/>
          <w:b w:val="false"/>
          <w:bCs w:val="false"/>
          <w:spacing w:val="1"/>
          <w:sz w:val="24"/>
          <w:szCs w:val="24"/>
          <w:lang w:val="en-US"/>
        </w:rPr>
      </w:r>
    </w:p>
    <w:p>
      <w:pPr>
        <w:pStyle w:val="Normal"/>
        <w:numPr>
          <w:ilvl w:val="0"/>
          <w:numId w:val="0"/>
        </w:numPr>
        <w:ind w:left="786" w:hanging="0"/>
        <w:rPr>
          <w:b w:val="false"/>
          <w:b w:val="false"/>
          <w:bCs w:val="false"/>
        </w:rPr>
      </w:pPr>
      <w:r>
        <w:rPr>
          <w:b w:val="false"/>
          <w:bCs w:val="false"/>
        </w:rPr>
        <w:t>2015</w:t>
      </w:r>
    </w:p>
    <w:p>
      <w:pPr>
        <w:pStyle w:val="Normal"/>
        <w:numPr>
          <w:ilvl w:val="0"/>
          <w:numId w:val="0"/>
        </w:numPr>
        <w:ind w:left="786" w:hanging="0"/>
        <w:rPr>
          <w:b w:val="false"/>
          <w:b w:val="false"/>
          <w:bCs w:val="false"/>
        </w:rPr>
      </w:pPr>
      <w:r>
        <w:rPr>
          <w:b w:val="false"/>
          <w:bCs w:val="false"/>
        </w:rPr>
      </w:r>
    </w:p>
    <w:p>
      <w:pPr>
        <w:pStyle w:val="Normal"/>
        <w:numPr>
          <w:ilvl w:val="0"/>
          <w:numId w:val="1"/>
        </w:numPr>
        <w:rPr>
          <w:b w:val="false"/>
          <w:b w:val="false"/>
          <w:bCs w:val="false"/>
        </w:rPr>
      </w:pPr>
      <w:r>
        <w:rPr>
          <w:rFonts w:eastAsia="Times New Roman" w:cs="Times New Roman"/>
          <w:b w:val="false"/>
          <w:bCs w:val="false"/>
          <w:szCs w:val="24"/>
          <w:lang w:val="it-IT" w:eastAsia="ru-RU"/>
        </w:rPr>
        <w:t xml:space="preserve">Свирида А. Д., Иванов Д. А., Петров Н.Х., Ведерников А. В., Громов С. П.,  Алфимов М. В. </w:t>
      </w:r>
      <w:r>
        <w:rPr>
          <w:rFonts w:eastAsia="Times New Roman" w:cs="Times New Roman"/>
          <w:b w:val="false"/>
          <w:bCs w:val="false"/>
          <w:szCs w:val="24"/>
          <w:lang w:eastAsia="ru-RU"/>
        </w:rPr>
        <w:t>«</w:t>
      </w:r>
      <w:r>
        <w:rPr>
          <w:rFonts w:eastAsia="Times New Roman" w:cs="Times New Roman"/>
          <w:b w:val="false"/>
          <w:bCs w:val="false"/>
          <w:szCs w:val="24"/>
          <w:lang w:val="it-IT" w:eastAsia="ru-RU"/>
        </w:rPr>
        <w:t>Фотофизические свойства водных растворов стирилового красителя в присутствии кукурбит[n]урила (n = 5, 6, 8).</w:t>
      </w:r>
      <w:r>
        <w:rPr>
          <w:rFonts w:eastAsia="Times New Roman" w:cs="Times New Roman"/>
          <w:b w:val="false"/>
          <w:bCs w:val="false"/>
          <w:szCs w:val="24"/>
          <w:lang w:eastAsia="ru-RU"/>
        </w:rPr>
        <w:t>»//</w:t>
      </w:r>
      <w:r>
        <w:rPr>
          <w:rFonts w:eastAsia="Times New Roman" w:cs="Times New Roman"/>
          <w:b w:val="false"/>
          <w:bCs w:val="false"/>
          <w:szCs w:val="24"/>
          <w:lang w:val="it-IT" w:eastAsia="ru-RU"/>
        </w:rPr>
        <w:t xml:space="preserve"> </w:t>
      </w:r>
      <w:r>
        <w:rPr>
          <w:rFonts w:eastAsia="Times New Roman" w:cs="Times New Roman"/>
          <w:b w:val="false"/>
          <w:bCs w:val="false"/>
          <w:i/>
          <w:szCs w:val="24"/>
          <w:lang w:val="it-IT" w:eastAsia="ru-RU"/>
        </w:rPr>
        <w:t>ХИМИЯ ВЫСОКИХ ЭНЕРГИЙ</w:t>
      </w:r>
      <w:r>
        <w:rPr>
          <w:rFonts w:eastAsia="Times New Roman" w:cs="Times New Roman"/>
          <w:b w:val="false"/>
          <w:bCs w:val="false"/>
          <w:szCs w:val="24"/>
          <w:lang w:val="it-IT" w:eastAsia="ru-RU"/>
        </w:rPr>
        <w:t xml:space="preserve">, </w:t>
      </w:r>
      <w:r>
        <w:rPr>
          <w:rFonts w:eastAsia="Times New Roman" w:cs="Times New Roman"/>
          <w:b w:val="false"/>
          <w:bCs w:val="false"/>
          <w:szCs w:val="24"/>
          <w:lang w:eastAsia="ru-RU"/>
        </w:rPr>
        <w:t xml:space="preserve">- </w:t>
      </w:r>
      <w:r>
        <w:rPr>
          <w:rFonts w:eastAsia="Times New Roman" w:cs="Times New Roman"/>
          <w:b w:val="false"/>
          <w:bCs w:val="false"/>
          <w:szCs w:val="24"/>
          <w:lang w:val="it-IT" w:eastAsia="ru-RU"/>
        </w:rPr>
        <w:t>2016</w:t>
      </w:r>
      <w:r>
        <w:rPr>
          <w:rFonts w:eastAsia="Times New Roman" w:cs="Times New Roman"/>
          <w:b w:val="false"/>
          <w:bCs w:val="false"/>
          <w:szCs w:val="24"/>
          <w:lang w:eastAsia="ru-RU"/>
        </w:rPr>
        <w:t>.-</w:t>
      </w:r>
      <w:r>
        <w:rPr>
          <w:rFonts w:eastAsia="Times New Roman" w:cs="Times New Roman"/>
          <w:b w:val="false"/>
          <w:bCs w:val="false"/>
          <w:szCs w:val="24"/>
          <w:lang w:val="it-IT" w:eastAsia="ru-RU"/>
        </w:rPr>
        <w:t xml:space="preserve"> </w:t>
      </w:r>
      <w:r>
        <w:rPr>
          <w:rFonts w:eastAsia="Times New Roman" w:cs="Times New Roman"/>
          <w:b w:val="false"/>
          <w:bCs w:val="false"/>
          <w:szCs w:val="24"/>
          <w:lang w:eastAsia="ru-RU"/>
        </w:rPr>
        <w:t>Т.</w:t>
      </w:r>
      <w:r>
        <w:rPr>
          <w:rFonts w:eastAsia="Times New Roman" w:cs="Times New Roman"/>
          <w:b w:val="false"/>
          <w:bCs w:val="false"/>
          <w:szCs w:val="24"/>
          <w:lang w:val="it-IT" w:eastAsia="ru-RU"/>
        </w:rPr>
        <w:t xml:space="preserve"> 50</w:t>
      </w:r>
      <w:r>
        <w:rPr>
          <w:rFonts w:eastAsia="Times New Roman" w:cs="Times New Roman"/>
          <w:b w:val="false"/>
          <w:bCs w:val="false"/>
          <w:szCs w:val="24"/>
          <w:lang w:eastAsia="ru-RU"/>
        </w:rPr>
        <w:t>.-</w:t>
      </w:r>
      <w:r>
        <w:rPr>
          <w:rFonts w:eastAsia="Times New Roman" w:cs="Times New Roman"/>
          <w:b w:val="false"/>
          <w:bCs w:val="false"/>
          <w:szCs w:val="24"/>
          <w:lang w:val="it-IT" w:eastAsia="ru-RU"/>
        </w:rPr>
        <w:t xml:space="preserve"> № 1</w:t>
      </w:r>
      <w:r>
        <w:rPr>
          <w:rFonts w:eastAsia="Times New Roman" w:cs="Times New Roman"/>
          <w:b w:val="false"/>
          <w:bCs w:val="false"/>
          <w:szCs w:val="24"/>
          <w:lang w:eastAsia="ru-RU"/>
        </w:rPr>
        <w:t>.</w:t>
      </w:r>
      <w:r>
        <w:rPr>
          <w:rFonts w:eastAsia="Times New Roman" w:cs="Times New Roman"/>
          <w:b w:val="false"/>
          <w:bCs w:val="false"/>
          <w:szCs w:val="24"/>
          <w:lang w:val="it-IT" w:eastAsia="ru-RU"/>
        </w:rPr>
        <w:t xml:space="preserve"> </w:t>
      </w:r>
      <w:r>
        <w:rPr>
          <w:rFonts w:eastAsia="Times New Roman" w:cs="Times New Roman"/>
          <w:b w:val="false"/>
          <w:bCs w:val="false"/>
          <w:szCs w:val="24"/>
          <w:lang w:eastAsia="ru-RU"/>
        </w:rPr>
        <w:t>С</w:t>
      </w:r>
      <w:r>
        <w:rPr>
          <w:rFonts w:eastAsia="Times New Roman" w:cs="Times New Roman"/>
          <w:b w:val="false"/>
          <w:bCs w:val="false"/>
          <w:szCs w:val="24"/>
          <w:lang w:val="it-IT" w:eastAsia="ru-RU"/>
        </w:rPr>
        <w:t xml:space="preserve">. </w:t>
      </w:r>
      <w:r>
        <w:rPr>
          <w:rFonts w:eastAsia="Times New Roman" w:cs="Times New Roman"/>
          <w:b w:val="false"/>
          <w:bCs w:val="false"/>
          <w:szCs w:val="24"/>
          <w:lang w:eastAsia="ru-RU"/>
        </w:rPr>
        <w:t>23-28</w:t>
      </w:r>
      <w:r>
        <w:rPr>
          <w:rFonts w:eastAsia="Times New Roman" w:cs="Times New Roman"/>
          <w:b w:val="false"/>
          <w:bCs w:val="false"/>
          <w:szCs w:val="24"/>
          <w:lang w:val="it-IT" w:eastAsia="ru-RU"/>
        </w:rPr>
        <w:t>.</w:t>
      </w:r>
    </w:p>
    <w:p>
      <w:pPr>
        <w:pStyle w:val="Normal"/>
        <w:numPr>
          <w:ilvl w:val="0"/>
          <w:numId w:val="0"/>
        </w:numPr>
        <w:ind w:left="786" w:hanging="0"/>
        <w:rPr>
          <w:rFonts w:eastAsia="Times New Roman" w:cs="Times New Roman"/>
          <w:b w:val="false"/>
          <w:b w:val="false"/>
          <w:bCs w:val="false"/>
          <w:szCs w:val="24"/>
          <w:lang w:val="it-IT" w:eastAsia="ru-RU"/>
        </w:rPr>
      </w:pPr>
      <w:r>
        <w:rPr>
          <w:rFonts w:eastAsia="Times New Roman" w:cs="Times New Roman"/>
          <w:b w:val="false"/>
          <w:bCs w:val="false"/>
          <w:szCs w:val="24"/>
          <w:lang w:val="it-IT" w:eastAsia="ru-RU"/>
        </w:rPr>
      </w:r>
    </w:p>
    <w:p>
      <w:pPr>
        <w:pStyle w:val="Normal"/>
        <w:numPr>
          <w:ilvl w:val="0"/>
          <w:numId w:val="1"/>
        </w:numPr>
        <w:jc w:val="both"/>
        <w:rPr>
          <w:b w:val="false"/>
          <w:b w:val="false"/>
          <w:bCs w:val="false"/>
        </w:rPr>
      </w:pPr>
      <w:r>
        <w:rPr>
          <w:rFonts w:eastAsia="Times New Roman" w:cs="Times New Roman"/>
          <w:b w:val="false"/>
          <w:bCs w:val="false"/>
          <w:szCs w:val="24"/>
          <w:lang w:val="it-IT" w:eastAsia="ru-RU"/>
        </w:rPr>
        <w:t xml:space="preserve">Петров. Н.Х., Иванов Д.А., Шандаров Ю.А., Крюков И.В., Авакян В.Г., Алфимов М.В., Сазонов С.К., Громов С.П. «Сверхбыстрая кинетика затухания флуоресценции водных растворов производных стирилового красителя и их комплексов с кукурбит[7]урилом.»// </w:t>
      </w:r>
      <w:r>
        <w:rPr>
          <w:rFonts w:eastAsia="Times New Roman" w:cs="Times New Roman"/>
          <w:b w:val="false"/>
          <w:bCs w:val="false"/>
          <w:i/>
          <w:szCs w:val="24"/>
          <w:lang w:val="it-IT" w:eastAsia="ru-RU"/>
        </w:rPr>
        <w:t>РОСИЙСКИЕ НАНОТЕХНОЛОГИИ</w:t>
      </w:r>
      <w:r>
        <w:rPr>
          <w:rFonts w:eastAsia="Times New Roman" w:cs="Times New Roman"/>
          <w:b w:val="false"/>
          <w:bCs w:val="false"/>
          <w:szCs w:val="24"/>
          <w:lang w:val="it-IT" w:eastAsia="ru-RU"/>
        </w:rPr>
        <w:t>, - 2015.-Т.10.- № 11–12. С. 85-90.</w:t>
      </w:r>
    </w:p>
    <w:p>
      <w:pPr>
        <w:pStyle w:val="Normal"/>
        <w:numPr>
          <w:ilvl w:val="0"/>
          <w:numId w:val="0"/>
        </w:numPr>
        <w:ind w:left="786" w:hanging="0"/>
        <w:rPr>
          <w:b w:val="false"/>
          <w:b w:val="false"/>
          <w:bCs w:val="false"/>
        </w:rPr>
      </w:pPr>
      <w:r>
        <w:rPr>
          <w:b w:val="false"/>
          <w:bCs w:val="false"/>
        </w:rPr>
      </w:r>
    </w:p>
    <w:p>
      <w:pPr>
        <w:pStyle w:val="Normal"/>
        <w:numPr>
          <w:ilvl w:val="0"/>
          <w:numId w:val="0"/>
        </w:numPr>
        <w:ind w:left="786" w:hanging="0"/>
        <w:rPr>
          <w:b w:val="false"/>
          <w:b w:val="false"/>
          <w:bCs w:val="false"/>
        </w:rPr>
      </w:pPr>
      <w:r>
        <w:rPr>
          <w:b w:val="false"/>
          <w:bCs w:val="false"/>
        </w:rPr>
        <w:t>2014</w:t>
      </w:r>
    </w:p>
    <w:p>
      <w:pPr>
        <w:pStyle w:val="Normal"/>
        <w:numPr>
          <w:ilvl w:val="0"/>
          <w:numId w:val="0"/>
        </w:numPr>
        <w:ind w:left="786" w:hanging="0"/>
        <w:rPr>
          <w:b w:val="false"/>
          <w:b w:val="false"/>
          <w:bCs w:val="false"/>
        </w:rPr>
      </w:pPr>
      <w:r>
        <w:rPr>
          <w:b w:val="false"/>
          <w:bCs w:val="false"/>
        </w:rPr>
      </w:r>
    </w:p>
    <w:p>
      <w:pPr>
        <w:pStyle w:val="Normal"/>
        <w:numPr>
          <w:ilvl w:val="0"/>
          <w:numId w:val="1"/>
        </w:numPr>
        <w:rPr>
          <w:b w:val="false"/>
          <w:b w:val="false"/>
          <w:bCs w:val="false"/>
        </w:rPr>
      </w:pPr>
      <w:r>
        <w:rPr>
          <w:b w:val="false"/>
          <w:bCs w:val="false"/>
        </w:rPr>
        <w:t xml:space="preserve">Иванов Д. А., Петров Н. Х., Алфимов М. В., Ведерников А. И., Громов С. П. Супрамолекулярный ассемблер на основе кукурбит[8]урила: фотодимеризация стирилового красителя в воде. // Химия высоких энергий. </w:t>
      </w:r>
      <w:bookmarkStart w:id="4" w:name="OLE_LINK133"/>
      <w:bookmarkStart w:id="5" w:name="OLE_LINK134"/>
      <w:bookmarkStart w:id="6" w:name="OLE_LINK135"/>
      <w:r>
        <w:rPr>
          <w:b w:val="false"/>
          <w:bCs w:val="false"/>
        </w:rPr>
        <w:t>– 2014. – Т. 48. - № 4. - С. 295-301</w:t>
      </w:r>
      <w:bookmarkEnd w:id="4"/>
      <w:bookmarkEnd w:id="5"/>
      <w:bookmarkEnd w:id="6"/>
      <w:r>
        <w:rPr>
          <w:b w:val="false"/>
          <w:bCs w:val="false"/>
        </w:rPr>
        <w:t xml:space="preserve">. </w:t>
      </w:r>
    </w:p>
    <w:p>
      <w:pPr>
        <w:pStyle w:val="Normal"/>
        <w:numPr>
          <w:ilvl w:val="0"/>
          <w:numId w:val="1"/>
        </w:numPr>
        <w:rPr>
          <w:b w:val="false"/>
          <w:b w:val="false"/>
          <w:bCs w:val="false"/>
        </w:rPr>
      </w:pPr>
      <w:r>
        <w:rPr>
          <w:rFonts w:eastAsia="Times New Roman"/>
          <w:b w:val="false"/>
          <w:bCs w:val="false"/>
          <w:lang w:val="en-US" w:eastAsia="ru-RU"/>
        </w:rPr>
        <w:t xml:space="preserve">Ivanov, DA (Ivanov, D. A.); Petrov, NK (Petrov, N. Kh.); Alfimov, MV (Alfimov, M. V.); Vedernikov, AI (Vedernikov, A. I.); Gromov, SP (Gromov, S. P.), «Supramolecular Assembler Based on Cucurbit[8]uril: Photodimerization of a Styryl Dye in Water» // </w:t>
      </w:r>
      <w:bookmarkStart w:id="7" w:name="OLE_LINK217"/>
      <w:bookmarkStart w:id="8" w:name="OLE_LINK218"/>
      <w:bookmarkStart w:id="9" w:name="OLE_LINK219"/>
      <w:r>
        <w:rPr>
          <w:rFonts w:eastAsia="Times New Roman"/>
          <w:b w:val="false"/>
          <w:bCs w:val="false"/>
          <w:lang w:val="en-US" w:eastAsia="ru-RU"/>
        </w:rPr>
        <w:t xml:space="preserve">HIGH ENERGY CHEMISTRY </w:t>
      </w:r>
      <w:r>
        <w:rPr>
          <w:b w:val="false"/>
          <w:bCs w:val="false"/>
          <w:lang w:val="en-US"/>
        </w:rPr>
        <w:t xml:space="preserve">– 2014. – </w:t>
      </w:r>
      <w:r>
        <w:rPr>
          <w:rFonts w:eastAsia="Times New Roman"/>
          <w:b w:val="false"/>
          <w:bCs w:val="false"/>
          <w:lang w:val="en-US" w:eastAsia="ru-RU"/>
        </w:rPr>
        <w:t>V</w:t>
      </w:r>
      <w:r>
        <w:rPr>
          <w:b w:val="false"/>
          <w:bCs w:val="false"/>
          <w:lang w:val="en-US"/>
        </w:rPr>
        <w:t xml:space="preserve">. 48. - № 4. - P. </w:t>
      </w:r>
      <w:r>
        <w:rPr>
          <w:rFonts w:eastAsia="Times New Roman"/>
          <w:b w:val="false"/>
          <w:bCs w:val="false"/>
          <w:lang w:val="en-US" w:eastAsia="ru-RU"/>
        </w:rPr>
        <w:t>253-259</w:t>
      </w:r>
      <w:r>
        <w:rPr>
          <w:b w:val="false"/>
          <w:bCs w:val="false"/>
          <w:lang w:val="en-US"/>
        </w:rPr>
        <w:t>.</w:t>
      </w:r>
      <w:bookmarkEnd w:id="7"/>
      <w:bookmarkEnd w:id="8"/>
      <w:bookmarkEnd w:id="9"/>
      <w:r>
        <w:rPr>
          <w:b w:val="false"/>
          <w:bCs w:val="false"/>
          <w:lang w:val="en-US"/>
        </w:rPr>
        <w:t xml:space="preserve"> </w:t>
      </w:r>
    </w:p>
    <w:p>
      <w:pPr>
        <w:pStyle w:val="Normal"/>
        <w:numPr>
          <w:ilvl w:val="0"/>
          <w:numId w:val="0"/>
        </w:numPr>
        <w:ind w:left="786" w:hanging="0"/>
        <w:rPr>
          <w:b w:val="false"/>
          <w:b w:val="false"/>
          <w:bCs w:val="false"/>
          <w:lang w:val="en-US"/>
        </w:rPr>
      </w:pPr>
      <w:r>
        <w:rPr>
          <w:b w:val="false"/>
          <w:bCs w:val="false"/>
          <w:lang w:val="en-US"/>
        </w:rPr>
      </w:r>
    </w:p>
    <w:p>
      <w:pPr>
        <w:pStyle w:val="Normal"/>
        <w:widowControl w:val="false"/>
        <w:numPr>
          <w:ilvl w:val="0"/>
          <w:numId w:val="1"/>
        </w:numPr>
        <w:spacing w:before="0" w:after="0"/>
        <w:contextualSpacing/>
        <w:jc w:val="both"/>
        <w:rPr>
          <w:b w:val="false"/>
          <w:b w:val="false"/>
          <w:bCs w:val="false"/>
        </w:rPr>
      </w:pPr>
      <w:r>
        <w:rPr>
          <w:b w:val="false"/>
          <w:bCs w:val="false"/>
          <w:lang w:val="en-US"/>
        </w:rPr>
        <w:t xml:space="preserve">Petrov N., Ivanov D., Ivanov A., Alfimov M., Vedernikov A., Gromov S. </w:t>
      </w:r>
      <w:bookmarkStart w:id="10" w:name="OLE_LINK121"/>
      <w:bookmarkStart w:id="11" w:name="OLE_LINK120"/>
      <w:bookmarkStart w:id="12" w:name="OLE_LINK119"/>
      <w:r>
        <w:rPr>
          <w:b w:val="false"/>
          <w:bCs w:val="false"/>
          <w:lang w:val="en-US"/>
        </w:rPr>
        <w:t xml:space="preserve">"A fast relaxation of electronically-excited inclusion complexes of a styryl dye with cucurbit[7]uril" // </w:t>
      </w:r>
      <w:r>
        <w:rPr>
          <w:b w:val="false"/>
          <w:bCs w:val="false"/>
          <w:i/>
          <w:lang w:val="en-US"/>
        </w:rPr>
        <w:t>Chem. Phys. Lett.</w:t>
      </w:r>
      <w:r>
        <w:rPr>
          <w:b w:val="false"/>
          <w:bCs w:val="false"/>
          <w:lang w:val="en-US"/>
        </w:rPr>
        <w:t xml:space="preserve"> – 2014. – V. 610. – P. 91-94.</w:t>
      </w:r>
      <w:bookmarkEnd w:id="10"/>
      <w:bookmarkEnd w:id="11"/>
      <w:bookmarkEnd w:id="12"/>
      <w:r>
        <w:rPr>
          <w:b w:val="false"/>
          <w:bCs w:val="false"/>
          <w:lang w:val="en-US"/>
        </w:rPr>
        <w:t xml:space="preserve"> </w:t>
      </w:r>
    </w:p>
    <w:p>
      <w:pPr>
        <w:pStyle w:val="Normal"/>
        <w:numPr>
          <w:ilvl w:val="0"/>
          <w:numId w:val="0"/>
        </w:numPr>
        <w:ind w:left="786" w:hanging="0"/>
        <w:rPr>
          <w:b w:val="false"/>
          <w:b w:val="false"/>
          <w:bCs w:val="false"/>
        </w:rPr>
      </w:pPr>
      <w:r>
        <w:rPr>
          <w:b w:val="false"/>
          <w:bCs w:val="false"/>
        </w:rPr>
      </w:r>
    </w:p>
    <w:p>
      <w:pPr>
        <w:pStyle w:val="Normal"/>
        <w:numPr>
          <w:ilvl w:val="0"/>
          <w:numId w:val="0"/>
        </w:numPr>
        <w:ind w:left="786" w:hanging="0"/>
        <w:rPr>
          <w:b w:val="false"/>
          <w:b w:val="false"/>
          <w:bCs w:val="false"/>
        </w:rPr>
      </w:pPr>
      <w:r>
        <w:rPr>
          <w:b w:val="false"/>
          <w:bCs w:val="false"/>
        </w:rPr>
        <w:t>2012</w:t>
      </w:r>
    </w:p>
    <w:p>
      <w:pPr>
        <w:pStyle w:val="Normal"/>
        <w:numPr>
          <w:ilvl w:val="0"/>
          <w:numId w:val="0"/>
        </w:numPr>
        <w:ind w:left="786" w:hanging="0"/>
        <w:rPr>
          <w:b w:val="false"/>
          <w:b w:val="false"/>
          <w:bCs w:val="false"/>
        </w:rPr>
      </w:pPr>
      <w:r>
        <w:rPr>
          <w:b w:val="false"/>
          <w:bCs w:val="false"/>
        </w:rPr>
      </w:r>
    </w:p>
    <w:p>
      <w:pPr>
        <w:pStyle w:val="Normal"/>
        <w:numPr>
          <w:ilvl w:val="0"/>
          <w:numId w:val="1"/>
        </w:numPr>
        <w:spacing w:lineRule="auto" w:line="240"/>
        <w:jc w:val="both"/>
        <w:rPr>
          <w:b w:val="false"/>
          <w:b w:val="false"/>
          <w:bCs w:val="false"/>
        </w:rPr>
      </w:pPr>
      <w:r>
        <w:rPr>
          <w:b w:val="false"/>
          <w:bCs w:val="false"/>
          <w:szCs w:val="24"/>
          <w:lang w:val="en-US"/>
        </w:rPr>
        <w:t xml:space="preserve">D. A. Ivanov, N. Kh. Petrov, O. Klimchuk, I. Billard «The microheterogeneous structure of ionic liquid mixtures with organic solvent determined by a cyanine-dye fluorescent probe» // </w:t>
      </w:r>
      <w:r>
        <w:rPr>
          <w:b w:val="false"/>
          <w:bCs w:val="false"/>
          <w:i/>
          <w:szCs w:val="24"/>
          <w:lang w:val="en-US"/>
        </w:rPr>
        <w:t>Chem. Phys. Letters</w:t>
      </w:r>
      <w:r>
        <w:rPr>
          <w:b w:val="false"/>
          <w:bCs w:val="false"/>
          <w:szCs w:val="24"/>
        </w:rPr>
        <w:t xml:space="preserve">. – 2012. - </w:t>
      </w:r>
      <w:r>
        <w:rPr>
          <w:b w:val="false"/>
          <w:bCs w:val="false"/>
          <w:szCs w:val="24"/>
          <w:lang w:val="en-US"/>
        </w:rPr>
        <w:t>V</w:t>
      </w:r>
      <w:r>
        <w:rPr>
          <w:b w:val="false"/>
          <w:bCs w:val="false"/>
          <w:szCs w:val="24"/>
        </w:rPr>
        <w:t xml:space="preserve">. 551. - </w:t>
      </w:r>
      <w:r>
        <w:rPr>
          <w:b w:val="false"/>
          <w:bCs w:val="false"/>
          <w:szCs w:val="24"/>
          <w:lang w:val="en-US"/>
        </w:rPr>
        <w:t>p</w:t>
      </w:r>
      <w:r>
        <w:rPr>
          <w:b w:val="false"/>
          <w:bCs w:val="false"/>
          <w:szCs w:val="24"/>
        </w:rPr>
        <w:t xml:space="preserve">. 111–114. </w:t>
      </w:r>
    </w:p>
    <w:p>
      <w:pPr>
        <w:pStyle w:val="Normal"/>
        <w:numPr>
          <w:ilvl w:val="0"/>
          <w:numId w:val="0"/>
        </w:numPr>
        <w:ind w:left="786" w:hanging="0"/>
        <w:rPr>
          <w:b w:val="false"/>
          <w:b w:val="false"/>
          <w:bCs w:val="false"/>
        </w:rPr>
      </w:pPr>
      <w:r>
        <w:rPr>
          <w:b w:val="false"/>
          <w:bCs w:val="false"/>
        </w:rPr>
      </w:r>
    </w:p>
    <w:p>
      <w:pPr>
        <w:pStyle w:val="Normal"/>
        <w:numPr>
          <w:ilvl w:val="0"/>
          <w:numId w:val="0"/>
        </w:numPr>
        <w:ind w:left="786" w:hanging="0"/>
        <w:rPr>
          <w:b w:val="false"/>
          <w:b w:val="false"/>
          <w:bCs w:val="false"/>
        </w:rPr>
      </w:pPr>
      <w:r>
        <w:rPr>
          <w:b w:val="false"/>
          <w:bCs w:val="false"/>
        </w:rPr>
        <w:t>2011</w:t>
      </w:r>
    </w:p>
    <w:p>
      <w:pPr>
        <w:pStyle w:val="Normal"/>
        <w:numPr>
          <w:ilvl w:val="0"/>
          <w:numId w:val="1"/>
        </w:numPr>
        <w:spacing w:lineRule="auto" w:line="240"/>
        <w:jc w:val="both"/>
        <w:rPr/>
      </w:pPr>
      <w:r>
        <w:rPr>
          <w:b w:val="false"/>
          <w:bCs w:val="false"/>
          <w:lang w:val="en-GB"/>
        </w:rPr>
        <w:t xml:space="preserve">Ivanov D. A., Petrov N. Kh., Nikitina E. A., Basilevsky M. V., Vedernikov A. V., Gromov S. P., Alfimov M. V. “The 1:1 host-guest complexation between cucurbit[7]uril and styryl dye.” // </w:t>
      </w:r>
      <w:r>
        <w:rPr>
          <w:b w:val="false"/>
          <w:bCs w:val="false"/>
          <w:i/>
          <w:lang w:val="en-GB"/>
        </w:rPr>
        <w:t>J. Phys. Chem. A.</w:t>
      </w:r>
      <w:r>
        <w:rPr>
          <w:b w:val="false"/>
          <w:bCs w:val="false"/>
          <w:lang w:val="en-GB"/>
        </w:rPr>
        <w:t xml:space="preserve"> – 2011. – V. 115. - P. 4505–4510. </w:t>
      </w:r>
    </w:p>
    <w:p>
      <w:pPr>
        <w:pStyle w:val="Normal"/>
        <w:numPr>
          <w:ilvl w:val="0"/>
          <w:numId w:val="0"/>
        </w:numPr>
        <w:spacing w:lineRule="auto" w:line="240"/>
        <w:ind w:left="786" w:hanging="0"/>
        <w:jc w:val="both"/>
        <w:rPr/>
      </w:pPr>
      <w:r>
        <w:rPr>
          <w:b w:val="false"/>
          <w:bCs w:val="false"/>
          <w:lang w:val="en-GB"/>
        </w:rPr>
        <w:t>2009</w:t>
      </w:r>
    </w:p>
    <w:p>
      <w:pPr>
        <w:pStyle w:val="Normal"/>
        <w:numPr>
          <w:ilvl w:val="0"/>
          <w:numId w:val="1"/>
        </w:numPr>
        <w:spacing w:lineRule="auto" w:line="240"/>
        <w:jc w:val="left"/>
        <w:rPr/>
      </w:pPr>
      <w:r>
        <w:rPr>
          <w:b w:val="false"/>
          <w:bCs w:val="false"/>
          <w:lang w:val="en-GB"/>
        </w:rPr>
        <w:t>High volume confinement in two-photon total-internal-reflection fluorescence correlation spectroscopy. D. Ivanov, V. Shcheslavskiy, I. Märki, M. Leutenegger, and T. Lasser. Appl. Phys. Lett. 94, 083902 (2009).</w:t>
      </w:r>
    </w:p>
    <w:p>
      <w:pPr>
        <w:pStyle w:val="Normal"/>
        <w:numPr>
          <w:ilvl w:val="0"/>
          <w:numId w:val="1"/>
        </w:numPr>
        <w:spacing w:lineRule="auto" w:line="240"/>
        <w:jc w:val="left"/>
        <w:rPr/>
      </w:pPr>
      <w:r>
        <w:rPr>
          <w:b w:val="false"/>
          <w:bCs w:val="false"/>
          <w:lang w:val="en-GB"/>
        </w:rPr>
        <w:t>The effect of cucurbit[7]uril on photophysical properties of aqueous solution of 3,30-diethylthiacarbocyanine iodide dye. N.Kh. Petrov, D.A. Ivanov, D.V. Golubkov, S.P. Gromov, M.V. Alfimov. Chemical Physics Letters 480 (2009) 96–99.</w:t>
      </w:r>
    </w:p>
    <w:p>
      <w:pPr>
        <w:pStyle w:val="Normal"/>
        <w:numPr>
          <w:ilvl w:val="0"/>
          <w:numId w:val="0"/>
        </w:numPr>
        <w:spacing w:lineRule="auto" w:line="240"/>
        <w:ind w:left="786" w:hanging="0"/>
        <w:jc w:val="left"/>
        <w:rPr/>
      </w:pPr>
      <w:r>
        <w:rPr>
          <w:b w:val="false"/>
          <w:bCs w:val="false"/>
          <w:lang w:val="en-GB"/>
        </w:rPr>
        <w:t>2007</w:t>
      </w:r>
    </w:p>
    <w:p>
      <w:pPr>
        <w:pStyle w:val="Normal"/>
        <w:numPr>
          <w:ilvl w:val="0"/>
          <w:numId w:val="1"/>
        </w:numPr>
        <w:spacing w:lineRule="auto" w:line="240"/>
        <w:jc w:val="left"/>
        <w:rPr/>
      </w:pPr>
      <w:r>
        <w:rPr>
          <w:b w:val="false"/>
          <w:bCs w:val="false"/>
          <w:lang w:val="en-GB"/>
        </w:rPr>
        <w:t>Закономерности кристаллизации растворенных веществ из микрокапли. Л.В. Андреева, А.С. Новоселова, П.В. Лебедев-Степанов, Д.А. Иванов, А.В. Кошкин, А.Н. Петров, М.В. Алфимов. Журнал технической физики, 2007, том 77, вып. 2, с. 22-30.</w:t>
      </w:r>
    </w:p>
    <w:p>
      <w:pPr>
        <w:pStyle w:val="Normal"/>
        <w:numPr>
          <w:ilvl w:val="0"/>
          <w:numId w:val="0"/>
        </w:numPr>
        <w:spacing w:lineRule="auto" w:line="240"/>
        <w:ind w:left="786" w:hanging="0"/>
        <w:jc w:val="left"/>
        <w:rPr/>
      </w:pPr>
      <w:r>
        <w:rPr>
          <w:b w:val="false"/>
          <w:bCs w:val="false"/>
          <w:lang w:val="en-GB"/>
        </w:rPr>
        <w:t>2006</w:t>
      </w:r>
    </w:p>
    <w:p>
      <w:pPr>
        <w:pStyle w:val="Normal"/>
        <w:numPr>
          <w:ilvl w:val="0"/>
          <w:numId w:val="1"/>
        </w:numPr>
        <w:spacing w:lineRule="auto" w:line="240"/>
        <w:jc w:val="left"/>
        <w:rPr/>
      </w:pPr>
      <w:r>
        <w:rPr>
          <w:b w:val="false"/>
          <w:bCs w:val="false"/>
          <w:lang w:val="en-GB"/>
        </w:rPr>
        <w:t>Исследование кристаллизации растворов в миктокаплях на приборе Affymetrix GMS 417 Arrayer. Л.В Андреева, Д.А. Иванов, Д.С. Ионов, А.В. Кошкин. П.В. Лебедев-Степанов, О.Ю. Рыбаков, А.С. Синицкий, А.Н. Петров, М.В. Алфимов. Приборы и техника эксперимента (2006), №6, с. 1-8.</w:t>
      </w:r>
    </w:p>
    <w:p>
      <w:pPr>
        <w:pStyle w:val="Normal"/>
        <w:numPr>
          <w:ilvl w:val="0"/>
          <w:numId w:val="1"/>
        </w:numPr>
        <w:spacing w:lineRule="auto" w:line="240"/>
        <w:jc w:val="left"/>
        <w:rPr/>
      </w:pPr>
      <w:r>
        <w:rPr>
          <w:b w:val="false"/>
          <w:bCs w:val="false"/>
          <w:lang w:val="en-GB"/>
        </w:rPr>
        <w:t>Linear and nonlinear optical anisotropy of amorphous oxidized silicon films induced by a network of pores. Leonid A. Golovan, Vasily A. Melnikov, Stanislav O. Konorov, Andrei B. Fedotov, Victor Yu. Timoshenko, Aleksei M. Zheltikov, Pavel K. Kashkarov, Denis A. Ivanov, Georgi I. Petrov and Vladislav V. Yakovlev. PHYSICAL REVIEW B 73, 115337 (2006).</w:t>
      </w:r>
    </w:p>
    <w:p>
      <w:pPr>
        <w:pStyle w:val="Normal"/>
        <w:numPr>
          <w:ilvl w:val="0"/>
          <w:numId w:val="1"/>
        </w:numPr>
        <w:spacing w:lineRule="auto" w:line="240"/>
        <w:jc w:val="left"/>
        <w:rPr/>
      </w:pPr>
      <w:r>
        <w:rPr>
          <w:b w:val="false"/>
          <w:bCs w:val="false"/>
          <w:lang w:val="en-GB"/>
        </w:rPr>
        <w:t>Form birefringence of oxidized porous silicon. L. A. Golovan, D. A. Ivanov, V. A. Melnikov, V. Yu. Timoshenko, A. M. Zheltikov, and P. K. Kashkarov. Appl. Phys. Lett. 88, 241113 (2006).</w:t>
      </w:r>
    </w:p>
    <w:p>
      <w:pPr>
        <w:pStyle w:val="Normal"/>
        <w:numPr>
          <w:ilvl w:val="0"/>
          <w:numId w:val="1"/>
        </w:numPr>
        <w:spacing w:lineRule="auto" w:line="240"/>
        <w:jc w:val="left"/>
        <w:rPr/>
      </w:pPr>
      <w:r>
        <w:rPr>
          <w:b w:val="false"/>
          <w:bCs w:val="false"/>
          <w:lang w:val="en-GB"/>
        </w:rPr>
        <w:t>Nonlinear optics of molecular nanostructures in solution: Assessment of the size and nonlinear optical properties. Vladislav I. Shcheslavskiy, Solomon M. Saltiel, Denis A. Ivanov, Anatolii A. Ivanov, Vladislav Y. Petrusevich, Georgi I. Petrov, Vladislav V. Yakovlev. Chemical Physics Letters 429 (2006) 294–298.</w:t>
      </w:r>
    </w:p>
    <w:p>
      <w:pPr>
        <w:pStyle w:val="Normal"/>
        <w:numPr>
          <w:ilvl w:val="0"/>
          <w:numId w:val="0"/>
        </w:numPr>
        <w:spacing w:lineRule="auto" w:line="240"/>
        <w:ind w:left="786" w:hanging="0"/>
        <w:jc w:val="left"/>
        <w:rPr/>
      </w:pPr>
      <w:r>
        <w:rPr>
          <w:b w:val="false"/>
          <w:bCs w:val="false"/>
          <w:lang w:val="en-GB"/>
        </w:rPr>
        <w:t>2005</w:t>
      </w:r>
    </w:p>
    <w:p>
      <w:pPr>
        <w:pStyle w:val="Normal"/>
        <w:numPr>
          <w:ilvl w:val="0"/>
          <w:numId w:val="1"/>
        </w:numPr>
        <w:spacing w:lineRule="auto" w:line="240"/>
        <w:jc w:val="left"/>
        <w:rPr/>
      </w:pPr>
      <w:r>
        <w:rPr>
          <w:b w:val="false"/>
          <w:bCs w:val="false"/>
          <w:lang w:val="en-GB"/>
        </w:rPr>
        <w:t>Ultrafast photonic-crystal fiber light flash for streak-camera fluorescence measurements. Stanislav Konorov. Anatoly Ivanov, Denis Ivanov, Mikhail Alfimov, Aleksei Zheltikov. Optics Express, Vol. 13 Issue 15, pp.5682-5688 (2005).</w:t>
        <w:br/>
        <w:br/>
        <w:br/>
        <w:br/>
      </w:r>
    </w:p>
    <w:p>
      <w:pPr>
        <w:pStyle w:val="Normal"/>
        <w:spacing w:lineRule="auto" w:line="240"/>
        <w:jc w:val="both"/>
        <w:rPr>
          <w:b w:val="false"/>
          <w:b w:val="false"/>
          <w:bCs w:val="false"/>
          <w:lang w:val="en-GB"/>
        </w:rPr>
      </w:pPr>
      <w:r>
        <w:rPr/>
      </w:r>
    </w:p>
    <w:p>
      <w:pPr>
        <w:pStyle w:val="Normal"/>
        <w:spacing w:lineRule="auto" w:line="240"/>
        <w:jc w:val="both"/>
        <w:rPr>
          <w:b w:val="false"/>
          <w:b w:val="false"/>
          <w:bCs w:val="false"/>
          <w:lang w:val="en-GB"/>
        </w:rPr>
      </w:pPr>
      <w:r>
        <w:rPr/>
      </w:r>
    </w:p>
    <w:p>
      <w:pPr>
        <w:pStyle w:val="Normal"/>
        <w:spacing w:lineRule="auto" w:line="240"/>
        <w:jc w:val="both"/>
        <w:rPr>
          <w:b w:val="false"/>
          <w:b w:val="false"/>
          <w:bCs w:val="false"/>
          <w:lang w:val="en-GB"/>
        </w:rPr>
      </w:pPr>
      <w:r>
        <w:rPr/>
      </w:r>
    </w:p>
    <w:p>
      <w:pPr>
        <w:pStyle w:val="Normal"/>
        <w:spacing w:lineRule="auto" w:line="240"/>
        <w:jc w:val="both"/>
        <w:rPr/>
      </w:pPr>
      <w:r>
        <w:rPr>
          <w:b w:val="false"/>
          <w:bCs w:val="false"/>
          <w:lang w:val="en-GB"/>
        </w:rPr>
        <w:br/>
        <w:br/>
        <w:br/>
        <w:br/>
        <w:br/>
        <w:br/>
        <w:br/>
        <w:br/>
        <w:br/>
        <w:b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R Cyr MT">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Regular" w:cs="FreeSans"/>
      <w:color w:val="00000A"/>
      <w:sz w:val="24"/>
      <w:szCs w:val="24"/>
      <w:lang w:val="en-US" w:eastAsia="zh-CN" w:bidi="hi-IN"/>
    </w:rPr>
  </w:style>
  <w:style w:type="character" w:styleId="WW8Num1z0">
    <w:name w:val="WW8Num1z0"/>
    <w:qFormat/>
    <w:rPr>
      <w:rFonts w:ascii="Times NR Cyr MT;Times New Roman" w:hAnsi="Times NR Cyr MT;Times New Roman" w:eastAsia="AdvP4DF60E;Arial Unicode MS" w:cs="Times NR Cyr MT;Times New Roman"/>
      <w:szCs w:val="24"/>
      <w:lang w:val="en-GB" w:eastAsia="ru-RU"/>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ListLabel1">
    <w:name w:val="ListLabel 1"/>
    <w:qFormat/>
    <w:rPr>
      <w:rFonts w:eastAsia="AdvP4DF60E;Arial Unicode MS" w:cs="Times NR Cyr MT;Times New Roman"/>
      <w:szCs w:val="24"/>
      <w:lang w:val="en-GB" w:eastAsia="ru-RU"/>
    </w:rPr>
  </w:style>
  <w:style w:type="character" w:styleId="WW8Num2z0">
    <w:name w:val="WW8Num2z0"/>
    <w:qFormat/>
    <w:rPr>
      <w:rFonts w:eastAsia="Times New Roman" w:cs="Symbol"/>
      <w:iCs/>
      <w:szCs w:val="24"/>
      <w:lang w:val="en-US" w:eastAsia="ru-RU"/>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stLabel2">
    <w:name w:val="ListLabel 2"/>
    <w:qFormat/>
    <w:rPr>
      <w:rFonts w:eastAsia="AdvP4DF60E;Arial Unicode MS" w:cs="Times NR Cyr MT;Times New Roman"/>
      <w:szCs w:val="24"/>
      <w:lang w:val="en-GB" w:eastAsia="ru-RU"/>
    </w:rPr>
  </w:style>
  <w:style w:type="character" w:styleId="ListLabel3">
    <w:name w:val="ListLabel 3"/>
    <w:qFormat/>
    <w:rPr>
      <w:rFonts w:eastAsia="Times New Roman" w:cs="Symbol"/>
      <w:iCs/>
      <w:szCs w:val="24"/>
      <w:lang w:val="en-US" w:eastAsia="ru-RU"/>
    </w:rPr>
  </w:style>
  <w:style w:type="character" w:styleId="ListLabel4">
    <w:name w:val="ListLabel 4"/>
    <w:qFormat/>
    <w:rPr>
      <w:rFonts w:eastAsia="AdvP4DF60E;Arial Unicode MS" w:cs="Times NR Cyr MT;Times New Roman"/>
      <w:szCs w:val="24"/>
      <w:lang w:val="en-GB" w:eastAsia="ru-RU"/>
    </w:rPr>
  </w:style>
  <w:style w:type="character" w:styleId="ListLabel5">
    <w:name w:val="ListLabel 5"/>
    <w:qFormat/>
    <w:rPr>
      <w:rFonts w:eastAsia="Times New Roman" w:cs="Symbol"/>
      <w:iCs/>
      <w:szCs w:val="24"/>
      <w:lang w:val="en-US" w:eastAsia="ru-RU"/>
    </w:rPr>
  </w:style>
  <w:style w:type="character" w:styleId="WW8Num3z0">
    <w:name w:val="WW8Num3z0"/>
    <w:qFormat/>
    <w:rPr>
      <w:rFonts w:eastAsia="Times New Roman"/>
      <w:lang w:val="en-US" w:eastAsia="ru-RU"/>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ListLabel6">
    <w:name w:val="ListLabel 6"/>
    <w:qFormat/>
    <w:rPr>
      <w:rFonts w:eastAsia="AdvP4DF60E;Arial Unicode MS" w:cs="Times NR Cyr MT;Times New Roman"/>
      <w:szCs w:val="24"/>
      <w:lang w:val="en-GB" w:eastAsia="ru-RU"/>
    </w:rPr>
  </w:style>
  <w:style w:type="character" w:styleId="ListLabel7">
    <w:name w:val="ListLabel 7"/>
    <w:qFormat/>
    <w:rPr>
      <w:rFonts w:eastAsia="Times New Roman" w:cs="Symbol"/>
      <w:iCs/>
      <w:szCs w:val="24"/>
      <w:lang w:val="en-US" w:eastAsia="ru-RU"/>
    </w:rPr>
  </w:style>
  <w:style w:type="character" w:styleId="ListLabel8">
    <w:name w:val="ListLabel 8"/>
    <w:qFormat/>
    <w:rPr>
      <w:rFonts w:eastAsia="Times New Roman"/>
      <w:lang w:val="en-US" w:eastAsia="ru-RU"/>
    </w:rPr>
  </w:style>
  <w:style w:type="character" w:styleId="ListLabel9">
    <w:name w:val="ListLabel 9"/>
    <w:qFormat/>
    <w:rPr>
      <w:rFonts w:eastAsia="AdvP4DF60E;Arial Unicode MS" w:cs="Times NR Cyr MT;Times New Roman"/>
      <w:szCs w:val="24"/>
      <w:lang w:val="en-GB" w:eastAsia="ru-RU"/>
    </w:rPr>
  </w:style>
  <w:style w:type="character" w:styleId="ListLabel10">
    <w:name w:val="ListLabel 10"/>
    <w:qFormat/>
    <w:rPr>
      <w:rFonts w:eastAsia="Times New Roman" w:cs="Symbol"/>
      <w:iCs/>
      <w:szCs w:val="24"/>
      <w:lang w:val="en-US" w:eastAsia="ru-RU"/>
    </w:rPr>
  </w:style>
  <w:style w:type="character" w:styleId="ListLabel11">
    <w:name w:val="ListLabel 11"/>
    <w:qFormat/>
    <w:rPr>
      <w:rFonts w:eastAsia="Times New Roman"/>
      <w:lang w:val="en-US" w:eastAsia="ru-RU"/>
    </w:rPr>
  </w:style>
  <w:style w:type="character" w:styleId="ListLabel12">
    <w:name w:val="ListLabel 12"/>
    <w:qFormat/>
    <w:rPr>
      <w:rFonts w:eastAsia="AdvP4DF60E;Arial Unicode MS" w:cs="Times NR Cyr MT;Times New Roman"/>
      <w:szCs w:val="24"/>
      <w:lang w:val="en-GB" w:eastAsia="ru-RU"/>
    </w:rPr>
  </w:style>
  <w:style w:type="character" w:styleId="ListLabel13">
    <w:name w:val="ListLabel 13"/>
    <w:qFormat/>
    <w:rPr>
      <w:rFonts w:eastAsia="Times New Roman" w:cs="Symbol"/>
      <w:iCs/>
      <w:szCs w:val="24"/>
      <w:lang w:val="en-US" w:eastAsia="ru-RU"/>
    </w:rPr>
  </w:style>
  <w:style w:type="character" w:styleId="ListLabel14">
    <w:name w:val="ListLabel 14"/>
    <w:qFormat/>
    <w:rPr>
      <w:rFonts w:eastAsia="Times New Roman"/>
      <w:lang w:val="en-US" w:eastAsia="ru-RU"/>
    </w:rPr>
  </w:style>
  <w:style w:type="character" w:styleId="ListLabel15">
    <w:name w:val="ListLabel 15"/>
    <w:qFormat/>
    <w:rPr>
      <w:rFonts w:eastAsia="AdvP4DF60E;Arial Unicode MS" w:cs="Times NR Cyr MT;Times New Roman"/>
      <w:szCs w:val="24"/>
      <w:lang w:val="en-GB" w:eastAsia="ru-RU"/>
    </w:rPr>
  </w:style>
  <w:style w:type="character" w:styleId="ListLabel16">
    <w:name w:val="ListLabel 16"/>
    <w:qFormat/>
    <w:rPr>
      <w:rFonts w:eastAsia="Times New Roman" w:cs="Symbol"/>
      <w:iCs/>
      <w:szCs w:val="24"/>
      <w:lang w:val="en-US" w:eastAsia="ru-RU"/>
    </w:rPr>
  </w:style>
  <w:style w:type="character" w:styleId="ListLabel17">
    <w:name w:val="ListLabel 17"/>
    <w:qFormat/>
    <w:rPr>
      <w:rFonts w:eastAsia="Times New Roman"/>
      <w:lang w:val="en-US" w:eastAsia="ru-RU"/>
    </w:rPr>
  </w:style>
  <w:style w:type="character" w:styleId="ListLabel18">
    <w:name w:val="ListLabel 18"/>
    <w:qFormat/>
    <w:rPr>
      <w:rFonts w:eastAsia="AdvP4DF60E;Arial Unicode MS" w:cs="Times NR Cyr MT;Times New Roman"/>
      <w:szCs w:val="24"/>
      <w:lang w:val="en-GB" w:eastAsia="ru-RU"/>
    </w:rPr>
  </w:style>
  <w:style w:type="character" w:styleId="ListLabel19">
    <w:name w:val="ListLabel 19"/>
    <w:qFormat/>
    <w:rPr>
      <w:rFonts w:eastAsia="Times New Roman" w:cs="Symbol"/>
      <w:iCs/>
      <w:szCs w:val="24"/>
      <w:lang w:val="en-US" w:eastAsia="ru-RU"/>
    </w:rPr>
  </w:style>
  <w:style w:type="character" w:styleId="ListLabel20">
    <w:name w:val="ListLabel 20"/>
    <w:qFormat/>
    <w:rPr>
      <w:rFonts w:eastAsia="Times New Roman"/>
      <w:lang w:val="en-US" w:eastAsia="ru-RU"/>
    </w:rPr>
  </w:style>
  <w:style w:type="character" w:styleId="ListLabel21">
    <w:name w:val="ListLabel 21"/>
    <w:qFormat/>
    <w:rPr>
      <w:rFonts w:eastAsia="AdvP4DF60E;Arial Unicode MS" w:cs="Times NR Cyr MT;Times New Roman"/>
      <w:szCs w:val="24"/>
      <w:lang w:val="en-GB" w:eastAsia="ru-RU"/>
    </w:rPr>
  </w:style>
  <w:style w:type="character" w:styleId="ListLabel22">
    <w:name w:val="ListLabel 22"/>
    <w:qFormat/>
    <w:rPr>
      <w:rFonts w:eastAsia="Times New Roman" w:cs="Symbol"/>
      <w:iCs/>
      <w:szCs w:val="24"/>
      <w:lang w:val="en-US" w:eastAsia="ru-RU"/>
    </w:rPr>
  </w:style>
  <w:style w:type="character" w:styleId="ListLabel23">
    <w:name w:val="ListLabel 23"/>
    <w:qFormat/>
    <w:rPr>
      <w:rFonts w:eastAsia="Times New Roman"/>
      <w:lang w:val="en-US" w:eastAsia="ru-RU"/>
    </w:rPr>
  </w:style>
  <w:style w:type="character" w:styleId="ListLabel24">
    <w:name w:val="ListLabel 24"/>
    <w:qFormat/>
    <w:rPr>
      <w:rFonts w:eastAsia="AdvP4DF60E;Arial Unicode MS" w:cs="Times NR Cyr MT;Times New Roman"/>
      <w:szCs w:val="24"/>
      <w:lang w:val="en-GB" w:eastAsia="ru-RU"/>
    </w:rPr>
  </w:style>
  <w:style w:type="character" w:styleId="ListLabel25">
    <w:name w:val="ListLabel 25"/>
    <w:qFormat/>
    <w:rPr>
      <w:rFonts w:eastAsia="Times New Roman" w:cs="Symbol"/>
      <w:iCs/>
      <w:szCs w:val="24"/>
      <w:lang w:val="en-US" w:eastAsia="ru-RU"/>
    </w:rPr>
  </w:style>
  <w:style w:type="character" w:styleId="ListLabel26">
    <w:name w:val="ListLabel 26"/>
    <w:qFormat/>
    <w:rPr>
      <w:rFonts w:eastAsia="Times New Roman"/>
      <w:lang w:val="en-US" w:eastAsia="ru-RU"/>
    </w:rPr>
  </w:style>
  <w:style w:type="character" w:styleId="ListLabel27">
    <w:name w:val="ListLabel 27"/>
    <w:qFormat/>
    <w:rPr>
      <w:rFonts w:eastAsia="AdvP4DF60E;Arial Unicode MS" w:cs="Times NR Cyr MT;Times New Roman"/>
      <w:szCs w:val="24"/>
      <w:lang w:val="en-GB" w:eastAsia="ru-RU"/>
    </w:rPr>
  </w:style>
  <w:style w:type="character" w:styleId="ListLabel28">
    <w:name w:val="ListLabel 28"/>
    <w:qFormat/>
    <w:rPr>
      <w:rFonts w:eastAsia="Times New Roman" w:cs="Symbol"/>
      <w:iCs/>
      <w:szCs w:val="24"/>
      <w:lang w:val="en-US" w:eastAsia="ru-RU"/>
    </w:rPr>
  </w:style>
  <w:style w:type="character" w:styleId="ListLabel29">
    <w:name w:val="ListLabel 29"/>
    <w:qFormat/>
    <w:rPr>
      <w:rFonts w:eastAsia="Times New Roman"/>
      <w:lang w:val="en-US" w:eastAsia="ru-RU"/>
    </w:rPr>
  </w:style>
  <w:style w:type="character" w:styleId="WW8Num14z0">
    <w:name w:val="WW8Num14z0"/>
    <w:qFormat/>
    <w:rPr>
      <w:rFonts w:ascii="Times New Roman" w:hAnsi="Times New Roman" w:eastAsia="Calibri" w:cs="Times New Roman"/>
      <w:iCs/>
      <w:spacing w:val="1"/>
      <w:sz w:val="24"/>
      <w:szCs w:val="24"/>
      <w:highlight w:val="red"/>
      <w:lang w:val="en-US"/>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ListLabel30">
    <w:name w:val="ListLabel 30"/>
    <w:qFormat/>
    <w:rPr>
      <w:rFonts w:eastAsia="AdvP4DF60E;Arial Unicode MS" w:cs="Times NR Cyr MT;Times New Roman"/>
      <w:szCs w:val="24"/>
      <w:lang w:val="en-GB" w:eastAsia="ru-RU"/>
    </w:rPr>
  </w:style>
  <w:style w:type="character" w:styleId="ListLabel31">
    <w:name w:val="ListLabel 31"/>
    <w:qFormat/>
    <w:rPr>
      <w:rFonts w:eastAsia="Times New Roman" w:cs="Symbol"/>
      <w:iCs/>
      <w:szCs w:val="24"/>
      <w:lang w:val="en-US" w:eastAsia="ru-RU"/>
    </w:rPr>
  </w:style>
  <w:style w:type="character" w:styleId="ListLabel32">
    <w:name w:val="ListLabel 32"/>
    <w:qFormat/>
    <w:rPr>
      <w:rFonts w:eastAsia="Times New Roman"/>
      <w:lang w:val="en-US" w:eastAsia="ru-RU"/>
    </w:rPr>
  </w:style>
  <w:style w:type="character" w:styleId="ListLabel33">
    <w:name w:val="ListLabel 33"/>
    <w:qFormat/>
    <w:rPr>
      <w:rFonts w:eastAsia="Calibri" w:cs="Times New Roman"/>
      <w:iCs/>
      <w:spacing w:val="1"/>
      <w:sz w:val="24"/>
      <w:szCs w:val="24"/>
      <w:highlight w:val="red"/>
      <w:lang w:val="en-US"/>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Style14">
    <w:name w:val="Абзац списка"/>
    <w:basedOn w:val="Normal"/>
    <w:qFormat/>
    <w:pPr>
      <w:spacing w:before="0" w:after="200"/>
      <w:ind w:left="72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LibreOffice/5.1.4.2$Linux_X86_64 LibreOffice_project/10m0$Build-2</Application>
  <Pages>3</Pages>
  <Words>834</Words>
  <Characters>4668</Characters>
  <CharactersWithSpaces>5490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2017-05-03T17:33:07Z</dcterms:created>
  <dc:creator/>
  <dc:description/>
  <dc:language>en-US</dc:language>
  <cp:lastModifiedBy/>
  <dcterms:modified xsi:type="dcterms:W3CDTF">2017-05-18T16:34:49Z</dcterms:modified>
  <cp:revision>14</cp:revision>
  <dc:subject/>
  <dc:title/>
</cp:coreProperties>
</file>