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ind w:left="1440" w:hanging="0"/>
        <w:rPr/>
      </w:pPr>
      <w:r>
        <w:rPr>
          <w:iCs/>
          <w:szCs w:val="24"/>
        </w:rPr>
        <w:t>2016</w:t>
      </w:r>
    </w:p>
    <w:p>
      <w:pPr>
        <w:pStyle w:val="Normal"/>
        <w:numPr>
          <w:ilvl w:val="0"/>
          <w:numId w:val="0"/>
        </w:numPr>
        <w:spacing w:lineRule="auto" w:line="240"/>
        <w:ind w:left="1440" w:hanging="0"/>
        <w:rPr>
          <w:iCs/>
          <w:szCs w:val="24"/>
        </w:rPr>
      </w:pPr>
      <w:r>
        <w:rPr>
          <w:iCs/>
          <w:szCs w:val="24"/>
        </w:rPr>
      </w:r>
    </w:p>
    <w:p>
      <w:pPr>
        <w:pStyle w:val="Style14"/>
        <w:widowControl w:val="false"/>
        <w:numPr>
          <w:ilvl w:val="0"/>
          <w:numId w:val="1"/>
        </w:numPr>
        <w:spacing w:lineRule="auto" w:line="240" w:before="0" w:after="0"/>
        <w:contextualSpacing/>
        <w:rPr/>
      </w:pPr>
      <w:r>
        <w:rPr>
          <w:rFonts w:cs="Times New Roman" w:ascii="Times New Roman" w:hAnsi="Times New Roman"/>
          <w:iCs/>
          <w:spacing w:val="1"/>
          <w:sz w:val="24"/>
          <w:szCs w:val="24"/>
        </w:rPr>
        <w:t xml:space="preserve">Получение методом струйной печати хемосенсорных материалов на основе кремнеземных наночастиц с ковалентно привитыми флуорофорами / Д.С. Ионов,Г.А. Юрасик, С.П. Молчанов, В.А. Сажников, В.М. Аристархов, Ю.Н. Кононевич, И.Б. Мешков, Н.В. Воронина, А.М. Музафаров, М.В. Алфимов / </w:t>
      </w:r>
      <w:bookmarkStart w:id="0" w:name="OLE_LINK136"/>
      <w:r>
        <w:rPr>
          <w:rFonts w:cs="Times New Roman" w:ascii="Times New Roman" w:hAnsi="Times New Roman"/>
          <w:iCs/>
          <w:spacing w:val="1"/>
          <w:sz w:val="24"/>
          <w:szCs w:val="24"/>
        </w:rPr>
        <w:t xml:space="preserve">Российские нанотехнологии. </w:t>
      </w:r>
      <w:r>
        <w:rPr>
          <w:rFonts w:cs="Times New Roman" w:ascii="Times New Roman" w:hAnsi="Times New Roman"/>
          <w:iCs/>
          <w:sz w:val="24"/>
          <w:szCs w:val="24"/>
        </w:rPr>
        <w:t xml:space="preserve">— </w:t>
      </w:r>
      <w:r>
        <w:rPr>
          <w:rFonts w:cs="Times New Roman" w:ascii="Times New Roman" w:hAnsi="Times New Roman"/>
          <w:iCs/>
          <w:spacing w:val="1"/>
          <w:sz w:val="24"/>
          <w:szCs w:val="24"/>
        </w:rPr>
        <w:t>2016.</w:t>
      </w:r>
      <w:r>
        <w:rPr>
          <w:rFonts w:cs="Times New Roman" w:ascii="Times New Roman" w:hAnsi="Times New Roman"/>
          <w:iCs/>
          <w:sz w:val="24"/>
          <w:szCs w:val="24"/>
        </w:rPr>
        <w:t xml:space="preserve"> — </w:t>
      </w:r>
      <w:r>
        <w:rPr>
          <w:rFonts w:cs="Times New Roman" w:ascii="Times New Roman" w:hAnsi="Times New Roman"/>
          <w:iCs/>
          <w:spacing w:val="1"/>
          <w:sz w:val="24"/>
          <w:szCs w:val="24"/>
        </w:rPr>
        <w:t xml:space="preserve"> Том. 11, </w:t>
      </w:r>
      <w:r>
        <w:rPr>
          <w:rFonts w:cs="Times New Roman" w:ascii="Times New Roman" w:hAnsi="Times New Roman"/>
          <w:iCs/>
          <w:sz w:val="24"/>
          <w:szCs w:val="24"/>
        </w:rPr>
        <w:t xml:space="preserve">— </w:t>
      </w:r>
      <w:r>
        <w:rPr>
          <w:rFonts w:cs="Times New Roman" w:ascii="Times New Roman" w:hAnsi="Times New Roman"/>
          <w:iCs/>
          <w:spacing w:val="1"/>
          <w:sz w:val="24"/>
          <w:szCs w:val="24"/>
        </w:rPr>
        <w:t>№ 7–8.</w:t>
      </w:r>
      <w:r>
        <w:rPr>
          <w:rFonts w:cs="Times New Roman" w:ascii="Times New Roman" w:hAnsi="Times New Roman"/>
          <w:iCs/>
          <w:sz w:val="24"/>
          <w:szCs w:val="24"/>
        </w:rPr>
        <w:t xml:space="preserve"> — </w:t>
      </w:r>
      <w:bookmarkEnd w:id="0"/>
      <w:r>
        <w:rPr>
          <w:rFonts w:cs="Times New Roman" w:ascii="Times New Roman" w:hAnsi="Times New Roman"/>
          <w:iCs/>
          <w:spacing w:val="1"/>
          <w:sz w:val="24"/>
          <w:szCs w:val="24"/>
        </w:rPr>
        <w:t>С. 55–60.</w:t>
      </w:r>
    </w:p>
    <w:p>
      <w:pPr>
        <w:pStyle w:val="Style14"/>
        <w:widowControl w:val="false"/>
        <w:numPr>
          <w:ilvl w:val="0"/>
          <w:numId w:val="0"/>
        </w:numPr>
        <w:spacing w:lineRule="auto" w:line="240" w:before="0" w:after="0"/>
        <w:ind w:left="2160" w:hanging="0"/>
        <w:contextualSpacing/>
        <w:rPr>
          <w:rFonts w:ascii="Times New Roman" w:hAnsi="Times New Roman" w:cs="Times New Roman"/>
          <w:iCs/>
          <w:spacing w:val="1"/>
          <w:sz w:val="24"/>
          <w:szCs w:val="24"/>
        </w:rPr>
      </w:pPr>
      <w:r>
        <w:rPr>
          <w:rFonts w:cs="Times New Roman" w:ascii="Times New Roman" w:hAnsi="Times New Roman"/>
          <w:iCs/>
          <w:spacing w:val="1"/>
          <w:sz w:val="24"/>
          <w:szCs w:val="24"/>
        </w:rPr>
      </w:r>
    </w:p>
    <w:p>
      <w:pPr>
        <w:pStyle w:val="Style14"/>
        <w:widowControl w:val="false"/>
        <w:numPr>
          <w:ilvl w:val="0"/>
          <w:numId w:val="1"/>
        </w:numPr>
        <w:spacing w:lineRule="auto" w:line="240" w:before="0" w:after="0"/>
        <w:contextualSpacing/>
        <w:rPr/>
      </w:pPr>
      <w:r>
        <w:rPr>
          <w:rFonts w:cs="Times New Roman" w:ascii="Times New Roman" w:hAnsi="Times New Roman"/>
          <w:iCs/>
          <w:spacing w:val="1"/>
          <w:sz w:val="24"/>
          <w:szCs w:val="24"/>
        </w:rPr>
        <w:t xml:space="preserve">Струйная печать хемосенсорных слоев на основе поверхностно-функционализированных кремнеземных наночастиц. / Д.С. Ионов, Г.А. Юрасик, Ю.Н. Кононевич, Н.М. Сурин, Е.А. Свидченко, В.А. Сажников, А.М. Музафаров, М.В. Алфимов </w:t>
      </w:r>
      <w:bookmarkStart w:id="1" w:name="OLE_LINK142"/>
      <w:bookmarkStart w:id="2" w:name="OLE_LINK141"/>
      <w:bookmarkStart w:id="3" w:name="OLE_LINK140"/>
      <w:r>
        <w:rPr>
          <w:rFonts w:cs="Times New Roman" w:ascii="Times New Roman" w:hAnsi="Times New Roman"/>
          <w:iCs/>
          <w:spacing w:val="1"/>
          <w:sz w:val="24"/>
          <w:szCs w:val="24"/>
        </w:rPr>
        <w:t>//</w:t>
      </w:r>
      <w:bookmarkEnd w:id="1"/>
      <w:bookmarkEnd w:id="2"/>
      <w:bookmarkEnd w:id="3"/>
      <w:r>
        <w:rPr>
          <w:rFonts w:cs="Times New Roman" w:ascii="Times New Roman" w:hAnsi="Times New Roman"/>
          <w:iCs/>
          <w:spacing w:val="1"/>
          <w:sz w:val="24"/>
          <w:szCs w:val="24"/>
        </w:rPr>
        <w:t xml:space="preserve"> Российские нанотехнологии. — 2017. —  Том. 11, — № 7–8. — С. 55–60.  В печати</w:t>
      </w:r>
    </w:p>
    <w:p>
      <w:pPr>
        <w:pStyle w:val="Normal"/>
        <w:numPr>
          <w:ilvl w:val="0"/>
          <w:numId w:val="0"/>
        </w:numPr>
        <w:spacing w:lineRule="auto" w:line="240"/>
        <w:ind w:left="1440" w:hanging="0"/>
        <w:rPr>
          <w:iCs/>
          <w:szCs w:val="24"/>
        </w:rPr>
      </w:pPr>
      <w:r>
        <w:rPr>
          <w:iCs/>
          <w:szCs w:val="24"/>
        </w:rPr>
      </w:r>
    </w:p>
    <w:p>
      <w:pPr>
        <w:pStyle w:val="Normal"/>
        <w:numPr>
          <w:ilvl w:val="0"/>
          <w:numId w:val="0"/>
        </w:numPr>
        <w:spacing w:lineRule="auto" w:line="240"/>
        <w:ind w:left="1440" w:hanging="0"/>
        <w:rPr/>
      </w:pPr>
      <w:r>
        <w:rPr>
          <w:iCs/>
          <w:szCs w:val="24"/>
        </w:rPr>
        <w:t>2015</w:t>
      </w:r>
    </w:p>
    <w:p>
      <w:pPr>
        <w:pStyle w:val="Normal"/>
        <w:numPr>
          <w:ilvl w:val="0"/>
          <w:numId w:val="0"/>
        </w:numPr>
        <w:spacing w:lineRule="auto" w:line="240"/>
        <w:ind w:left="1440" w:hanging="0"/>
        <w:rPr>
          <w:iCs/>
          <w:szCs w:val="24"/>
        </w:rPr>
      </w:pPr>
      <w:r>
        <w:rPr>
          <w:iCs/>
          <w:szCs w:val="24"/>
        </w:rPr>
      </w:r>
    </w:p>
    <w:p>
      <w:pPr>
        <w:pStyle w:val="Normal"/>
        <w:numPr>
          <w:ilvl w:val="0"/>
          <w:numId w:val="1"/>
        </w:numPr>
        <w:spacing w:lineRule="auto" w:line="240"/>
        <w:jc w:val="both"/>
        <w:rPr/>
      </w:pPr>
      <w:r>
        <w:rPr>
          <w:iCs/>
          <w:szCs w:val="24"/>
        </w:rPr>
        <w:t xml:space="preserve">Ионов Д.С., Юрасик Г.В., Антонов А.В., Сажников В.А., Алфимов М.В. Модель формирования эксиплексов дибензоилметаната дифторида бора с ароматическими углеводородами на поверхности кремнезема // </w:t>
      </w:r>
      <w:r>
        <w:rPr>
          <w:i/>
          <w:iCs/>
          <w:szCs w:val="24"/>
        </w:rPr>
        <w:t>Химия высоких энергий</w:t>
      </w:r>
      <w:r>
        <w:rPr>
          <w:iCs/>
          <w:szCs w:val="24"/>
        </w:rPr>
        <w:t>. - 2015. - Т. 49. - № 3. - С. 1–6.</w:t>
      </w:r>
    </w:p>
    <w:p>
      <w:pPr>
        <w:pStyle w:val="Normal"/>
        <w:numPr>
          <w:ilvl w:val="0"/>
          <w:numId w:val="0"/>
        </w:numPr>
        <w:spacing w:lineRule="auto" w:line="240"/>
        <w:ind w:left="1440" w:hanging="0"/>
        <w:rPr>
          <w:iCs/>
          <w:szCs w:val="24"/>
        </w:rPr>
      </w:pPr>
      <w:r>
        <w:rPr>
          <w:iCs/>
          <w:szCs w:val="24"/>
        </w:rPr>
      </w:r>
    </w:p>
    <w:p>
      <w:pPr>
        <w:pStyle w:val="Normal"/>
        <w:numPr>
          <w:ilvl w:val="0"/>
          <w:numId w:val="0"/>
        </w:numPr>
        <w:spacing w:lineRule="auto" w:line="240"/>
        <w:ind w:left="1440" w:hanging="0"/>
        <w:rPr/>
      </w:pPr>
      <w:r>
        <w:rPr>
          <w:iCs/>
          <w:szCs w:val="24"/>
        </w:rPr>
        <w:t>2014</w:t>
      </w:r>
    </w:p>
    <w:p>
      <w:pPr>
        <w:pStyle w:val="Normal"/>
        <w:numPr>
          <w:ilvl w:val="0"/>
          <w:numId w:val="1"/>
        </w:numPr>
        <w:spacing w:lineRule="auto" w:line="240"/>
        <w:rPr/>
      </w:pPr>
      <w:r>
        <w:rPr>
          <w:iCs/>
          <w:szCs w:val="24"/>
        </w:rPr>
        <w:t xml:space="preserve">Мешков Б.Б., Ионов Д.С., Кошкин А.В., Алфимов М.В., Лившиц В. А. Исследование детектирования летучих алифатических и ароматических аминов с помощью флуоресцентного рН-индикатора этилэозина в полимерных матрицах // </w:t>
      </w:r>
      <w:r>
        <w:rPr>
          <w:i/>
          <w:iCs/>
          <w:szCs w:val="24"/>
        </w:rPr>
        <w:t>Российские нанотехнологии</w:t>
      </w:r>
      <w:r>
        <w:rPr>
          <w:iCs/>
          <w:szCs w:val="24"/>
        </w:rPr>
        <w:t xml:space="preserve"> – 2014. – 9. – № 5-6. – С. 14–19. </w:t>
      </w:r>
    </w:p>
    <w:p>
      <w:pPr>
        <w:pStyle w:val="Normal"/>
        <w:numPr>
          <w:ilvl w:val="0"/>
          <w:numId w:val="0"/>
        </w:numPr>
        <w:spacing w:lineRule="auto" w:line="240"/>
        <w:ind w:left="1440" w:hanging="0"/>
        <w:rPr>
          <w:iCs/>
          <w:szCs w:val="24"/>
        </w:rPr>
      </w:pPr>
      <w:r>
        <w:rPr>
          <w:iCs/>
          <w:szCs w:val="24"/>
        </w:rPr>
      </w:r>
    </w:p>
    <w:p>
      <w:pPr>
        <w:pStyle w:val="Normal"/>
        <w:widowControl w:val="false"/>
        <w:numPr>
          <w:ilvl w:val="0"/>
          <w:numId w:val="1"/>
        </w:numPr>
        <w:spacing w:lineRule="auto" w:line="240" w:before="0" w:after="0"/>
        <w:contextualSpacing/>
        <w:jc w:val="both"/>
        <w:rPr/>
      </w:pPr>
      <w:r>
        <w:rPr>
          <w:iCs/>
          <w:szCs w:val="24"/>
          <w:lang w:val="en-US"/>
        </w:rPr>
        <w:t xml:space="preserve">Arias Espinoza J.D., Sazhnikov V., Smits E.C.P., Ionov D., Kononevich Y., Yakimets I., Alfimov M., Schoo H.F.M. Gas response behaviour and photochemistry of borondiketonate in acrylic polymer matrices for sensing applications. // </w:t>
      </w:r>
      <w:r>
        <w:rPr>
          <w:b/>
          <w:i/>
          <w:iCs/>
          <w:szCs w:val="24"/>
          <w:lang w:val="en-US"/>
        </w:rPr>
        <w:t>J. Fluoresc.</w:t>
      </w:r>
      <w:r>
        <w:rPr>
          <w:iCs/>
          <w:szCs w:val="24"/>
          <w:lang w:val="en-US"/>
        </w:rPr>
        <w:t xml:space="preserve"> </w:t>
      </w:r>
      <w:bookmarkStart w:id="4" w:name="OLE_LINK37"/>
      <w:bookmarkStart w:id="5" w:name="OLE_LINK38"/>
      <w:bookmarkStart w:id="6" w:name="OLE_LINK39"/>
      <w:bookmarkStart w:id="7" w:name="OLE_LINK56"/>
      <w:bookmarkStart w:id="8" w:name="OLE_LINK57"/>
      <w:r>
        <w:rPr>
          <w:iCs/>
          <w:szCs w:val="24"/>
          <w:lang w:val="en-US"/>
        </w:rPr>
        <w:t xml:space="preserve">– 2014. – </w:t>
      </w:r>
      <w:bookmarkStart w:id="9" w:name="OLE_LINK52"/>
      <w:bookmarkStart w:id="10" w:name="OLE_LINK53"/>
      <w:bookmarkStart w:id="11" w:name="OLE_LINK54"/>
      <w:bookmarkStart w:id="12" w:name="OLE_LINK55"/>
      <w:bookmarkEnd w:id="7"/>
      <w:bookmarkEnd w:id="8"/>
      <w:r>
        <w:rPr>
          <w:iCs/>
          <w:szCs w:val="24"/>
          <w:lang w:val="en-US"/>
        </w:rPr>
        <w:t>V. 24. – № 6. – P. 1735–44.</w:t>
      </w:r>
      <w:bookmarkEnd w:id="4"/>
      <w:bookmarkEnd w:id="5"/>
      <w:bookmarkEnd w:id="6"/>
      <w:bookmarkEnd w:id="9"/>
      <w:bookmarkEnd w:id="10"/>
      <w:bookmarkEnd w:id="11"/>
      <w:bookmarkEnd w:id="12"/>
      <w:r>
        <w:rPr>
          <w:iCs/>
          <w:szCs w:val="24"/>
          <w:lang w:val="en-US"/>
        </w:rPr>
        <w:t xml:space="preserve"> </w:t>
      </w:r>
    </w:p>
    <w:p>
      <w:pPr>
        <w:pStyle w:val="Normal"/>
        <w:widowControl w:val="false"/>
        <w:numPr>
          <w:ilvl w:val="0"/>
          <w:numId w:val="0"/>
        </w:numPr>
        <w:spacing w:lineRule="auto" w:line="240" w:before="0" w:after="0"/>
        <w:ind w:left="1440" w:hanging="0"/>
        <w:contextualSpacing/>
        <w:jc w:val="both"/>
        <w:rPr/>
      </w:pPr>
      <w:r>
        <w:rPr>
          <w:iCs/>
          <w:szCs w:val="24"/>
          <w:lang w:val="en-US"/>
        </w:rPr>
        <w:t>2012</w:t>
      </w:r>
    </w:p>
    <w:p>
      <w:pPr>
        <w:pStyle w:val="Normal"/>
        <w:widowControl w:val="false"/>
        <w:numPr>
          <w:ilvl w:val="0"/>
          <w:numId w:val="1"/>
        </w:numPr>
        <w:spacing w:lineRule="auto" w:line="240" w:before="0" w:after="0"/>
        <w:contextualSpacing/>
        <w:jc w:val="both"/>
        <w:rPr/>
      </w:pPr>
      <w:r>
        <w:rPr>
          <w:iCs/>
          <w:szCs w:val="24"/>
          <w:lang w:val="en-US"/>
        </w:rPr>
        <w:t xml:space="preserve">6. Espinoza, J. D. A., Sazhnikov V., Sabik S., Ionov D., Smits E., Kalathimekkad S., Van Steenberge G., Alfimov M., Pośniak M., Dobrzyńska E., Szewczyńska M., Benczek K., Schoo H., «Flexible Optical Chemical Sensor Platform for BTX» // Procedia Eng. 2012. Vol. 47. P. 607–610. </w:t>
      </w:r>
    </w:p>
    <w:p>
      <w:pPr>
        <w:pStyle w:val="Normal"/>
        <w:widowControl w:val="false"/>
        <w:numPr>
          <w:ilvl w:val="0"/>
          <w:numId w:val="0"/>
        </w:numPr>
        <w:spacing w:lineRule="auto" w:line="240" w:before="0" w:after="0"/>
        <w:ind w:left="1440" w:hanging="0"/>
        <w:contextualSpacing/>
        <w:jc w:val="both"/>
        <w:rPr/>
      </w:pPr>
      <w:r>
        <w:rPr>
          <w:iCs/>
          <w:szCs w:val="24"/>
          <w:lang w:val="en-US"/>
        </w:rPr>
        <w:t>2011</w:t>
      </w:r>
    </w:p>
    <w:p>
      <w:pPr>
        <w:pStyle w:val="Normal"/>
        <w:widowControl w:val="false"/>
        <w:numPr>
          <w:ilvl w:val="0"/>
          <w:numId w:val="1"/>
        </w:numPr>
        <w:spacing w:lineRule="auto" w:line="240" w:before="0" w:after="0"/>
        <w:contextualSpacing/>
        <w:jc w:val="both"/>
        <w:rPr/>
      </w:pPr>
      <w:r>
        <w:rPr>
          <w:iCs/>
          <w:szCs w:val="24"/>
          <w:lang w:val="en-US"/>
        </w:rPr>
        <w:t xml:space="preserve">Ионов Д.С., Коваленко В.А., Хлебунов А.А., Сажникова В.А., Алфимов М.В. «Тушение тетрабромметаном флуоресценции растворов дитолиламиноакридина» // Химия высоких энергий. 2011. Vol. 45, № 4. P. 342–347. </w:t>
      </w:r>
    </w:p>
    <w:p>
      <w:pPr>
        <w:pStyle w:val="Normal"/>
        <w:numPr>
          <w:ilvl w:val="0"/>
          <w:numId w:val="0"/>
        </w:numPr>
        <w:spacing w:lineRule="auto" w:line="240"/>
        <w:ind w:left="1440" w:hanging="0"/>
        <w:rPr/>
      </w:pPr>
      <w:r>
        <w:rPr>
          <w:iCs/>
          <w:szCs w:val="24"/>
        </w:rPr>
        <w:t>2010</w:t>
      </w:r>
    </w:p>
    <w:p>
      <w:pPr>
        <w:pStyle w:val="Normal"/>
        <w:numPr>
          <w:ilvl w:val="0"/>
          <w:numId w:val="1"/>
        </w:numPr>
        <w:spacing w:lineRule="auto" w:line="240"/>
        <w:rPr/>
      </w:pPr>
      <w:r>
        <w:rPr>
          <w:iCs/>
          <w:szCs w:val="24"/>
        </w:rPr>
        <w:t>Ионов Д.С., Сажников В.А., Алфимов М.В</w:t>
      </w:r>
      <w:r>
        <w:rPr>
          <w:i/>
          <w:iCs/>
          <w:szCs w:val="24"/>
        </w:rPr>
        <w:t xml:space="preserve">. </w:t>
      </w:r>
      <w:r>
        <w:rPr>
          <w:bCs/>
          <w:szCs w:val="24"/>
        </w:rPr>
        <w:t>Фотохимический метод получения наночастиц, нанополостей и нанопор в полимерных пленках</w:t>
      </w:r>
      <w:r>
        <w:rPr>
          <w:szCs w:val="24"/>
        </w:rPr>
        <w:t xml:space="preserve">. // </w:t>
      </w:r>
      <w:r>
        <w:rPr>
          <w:i/>
          <w:szCs w:val="24"/>
        </w:rPr>
        <w:t>Российские нанотехнологии</w:t>
      </w:r>
      <w:r>
        <w:rPr>
          <w:szCs w:val="24"/>
        </w:rPr>
        <w:t>, 2010, т.5, № 7-8, 31-34.</w:t>
      </w:r>
    </w:p>
    <w:p>
      <w:pPr>
        <w:pStyle w:val="Normal"/>
        <w:numPr>
          <w:ilvl w:val="0"/>
          <w:numId w:val="0"/>
        </w:numPr>
        <w:spacing w:lineRule="auto" w:line="240"/>
        <w:ind w:left="1440" w:hanging="0"/>
        <w:rPr/>
      </w:pPr>
      <w:r>
        <w:rPr>
          <w:szCs w:val="24"/>
        </w:rPr>
        <w:t>2009</w:t>
      </w:r>
    </w:p>
    <w:p>
      <w:pPr>
        <w:pStyle w:val="Normal"/>
        <w:numPr>
          <w:ilvl w:val="0"/>
          <w:numId w:val="1"/>
        </w:numPr>
        <w:spacing w:lineRule="auto" w:line="240"/>
        <w:rPr/>
      </w:pPr>
      <w:r>
        <w:rPr>
          <w:szCs w:val="24"/>
        </w:rPr>
        <w:t xml:space="preserve">.Лебедев-Степанов П.В., Хохлов П.Е., Ионов Д.С., Якиманский А.В., Меньшикова А.Ю., Шевченко Н.Н., Евсеева Т.Г., Алфимов М.В. «Самосборка микро- и наноструктур при двухстадийном их нанесении методом центрифугирования.» // Российские нанотехнологии. 2009. Т. 4. № 3-4. С. 54-59. </w:t>
      </w:r>
    </w:p>
    <w:p>
      <w:pPr>
        <w:pStyle w:val="Normal"/>
        <w:numPr>
          <w:ilvl w:val="0"/>
          <w:numId w:val="1"/>
        </w:numPr>
        <w:spacing w:lineRule="auto" w:line="240"/>
        <w:rPr/>
      </w:pPr>
      <w:r>
        <w:rPr>
          <w:szCs w:val="24"/>
        </w:rPr>
        <w:t xml:space="preserve">А.А. Хлебунов, Д.С. Ионов, П.В. Комаров, В.М. Аристархов, В.А. Сажников, А.Н. Петров, М.В. Алфимов «Экспериментальный комплекс для изучения характеристик оптических сенсорных материалов.» // Приборы и техника эксперимента. 2009. № 1. С. 145-150. </w:t>
        <w:br/>
        <w:t>2006</w:t>
      </w:r>
    </w:p>
    <w:p>
      <w:pPr>
        <w:pStyle w:val="Normal"/>
        <w:numPr>
          <w:ilvl w:val="0"/>
          <w:numId w:val="0"/>
        </w:numPr>
        <w:spacing w:lineRule="auto" w:line="240"/>
        <w:ind w:left="1440" w:hanging="0"/>
        <w:rPr>
          <w:szCs w:val="24"/>
        </w:rPr>
      </w:pPr>
      <w:r>
        <w:rPr/>
      </w:r>
    </w:p>
    <w:p>
      <w:pPr>
        <w:pStyle w:val="Normal"/>
        <w:numPr>
          <w:ilvl w:val="0"/>
          <w:numId w:val="1"/>
        </w:numPr>
        <w:spacing w:lineRule="auto" w:line="240"/>
        <w:rPr/>
      </w:pPr>
      <w:r>
        <w:rPr>
          <w:szCs w:val="24"/>
        </w:rPr>
        <w:t xml:space="preserve">1. Андреева Л.В., Иванов Д.А., Ионов Д.С., Кошкин А.В., Лебедев-Степанов П.В., Рыбаков О.Ю., Синицкий A.С., Петров А.Н., Алфимов М.В. «Исследование кристаллизации растворов в микрокаплях на приборе Affymetrix GMS 417 Аrrауеr.» // Приборы и техника эксперимента. 2006. № 6. С. 127-135. </w:t>
        <w:br/>
        <w:br/>
        <w:br/>
        <w:br/>
        <w:b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character" w:styleId="WW8Num30z0">
    <w:name w:val="WW8Num30z0"/>
    <w:qFormat/>
    <w:rPr>
      <w:b w:val="false"/>
      <w:i w:val="false"/>
      <w:sz w:val="24"/>
      <w:szCs w:val="24"/>
      <w:highlight w:val="yellow"/>
      <w:lang w:val="en-US"/>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ListLabel1">
    <w:name w:val="ListLabel 1"/>
    <w:qFormat/>
    <w:rPr>
      <w:b w:val="false"/>
      <w:i w:val="false"/>
      <w:sz w:val="24"/>
      <w:szCs w:val="24"/>
      <w:highlight w:val="yellow"/>
      <w:lang w:val="en-US"/>
    </w:rPr>
  </w:style>
  <w:style w:type="character" w:styleId="WW8Num2z0">
    <w:name w:val="WW8Num2z0"/>
    <w:qFormat/>
    <w:rPr>
      <w:rFonts w:eastAsia="Times New Roman"/>
      <w:bCs/>
      <w:i/>
      <w:iCs/>
      <w:highlight w:val="cyan"/>
      <w:lang w:eastAsia="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2">
    <w:name w:val="ListLabel 2"/>
    <w:qFormat/>
    <w:rPr>
      <w:b w:val="false"/>
      <w:i w:val="false"/>
      <w:sz w:val="24"/>
      <w:szCs w:val="24"/>
      <w:highlight w:val="yellow"/>
      <w:lang w:val="en-US"/>
    </w:rPr>
  </w:style>
  <w:style w:type="character" w:styleId="WW8Num3z0">
    <w:name w:val="WW8Num3z0"/>
    <w:qFormat/>
    <w:rPr>
      <w:rFonts w:eastAsia="Times New Roman"/>
      <w:lang w:val="en-US" w:eastAsia="ru-RU"/>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ListLabel3">
    <w:name w:val="ListLabel 3"/>
    <w:qFormat/>
    <w:rPr>
      <w:b w:val="false"/>
      <w:i w:val="false"/>
      <w:sz w:val="24"/>
      <w:szCs w:val="24"/>
      <w:highlight w:val="yellow"/>
      <w:lang w:val="en-US"/>
    </w:rPr>
  </w:style>
  <w:style w:type="character" w:styleId="ListLabel4">
    <w:name w:val="ListLabel 4"/>
    <w:qFormat/>
    <w:rPr>
      <w:rFonts w:eastAsia="Times New Roman"/>
      <w:lang w:val="en-US" w:eastAsia="ru-RU"/>
    </w:rPr>
  </w:style>
  <w:style w:type="character" w:styleId="ListLabel5">
    <w:name w:val="ListLabel 5"/>
    <w:qFormat/>
    <w:rPr>
      <w:b w:val="false"/>
      <w:i w:val="false"/>
      <w:sz w:val="24"/>
      <w:szCs w:val="24"/>
      <w:highlight w:val="yellow"/>
      <w:lang w:val="en-US"/>
    </w:rPr>
  </w:style>
  <w:style w:type="character" w:styleId="ListLabel6">
    <w:name w:val="ListLabel 6"/>
    <w:qFormat/>
    <w:rPr>
      <w:rFonts w:eastAsia="Times New Roman"/>
      <w:lang w:val="en-US" w:eastAsia="ru-RU"/>
    </w:rPr>
  </w:style>
  <w:style w:type="character" w:styleId="ListLabel7">
    <w:name w:val="ListLabel 7"/>
    <w:qFormat/>
    <w:rPr>
      <w:b w:val="false"/>
      <w:i w:val="false"/>
      <w:sz w:val="24"/>
      <w:szCs w:val="24"/>
      <w:highlight w:val="yellow"/>
      <w:lang w:val="en-US"/>
    </w:rPr>
  </w:style>
  <w:style w:type="character" w:styleId="ListLabel8">
    <w:name w:val="ListLabel 8"/>
    <w:qFormat/>
    <w:rPr>
      <w:rFonts w:eastAsia="Times New Roman"/>
      <w:lang w:val="en-US" w:eastAsia="ru-RU"/>
    </w:rPr>
  </w:style>
  <w:style w:type="character" w:styleId="ListLabel9">
    <w:name w:val="ListLabel 9"/>
    <w:qFormat/>
    <w:rPr>
      <w:b w:val="false"/>
      <w:i w:val="false"/>
      <w:sz w:val="24"/>
      <w:szCs w:val="24"/>
      <w:highlight w:val="yellow"/>
      <w:lang w:val="en-US"/>
    </w:rPr>
  </w:style>
  <w:style w:type="character" w:styleId="ListLabel10">
    <w:name w:val="ListLabel 10"/>
    <w:qFormat/>
    <w:rPr>
      <w:rFonts w:eastAsia="Times New Roman"/>
      <w:lang w:val="en-US" w:eastAsia="ru-RU"/>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14">
    <w:name w:val="Абзац списка"/>
    <w:basedOn w:val="Normal"/>
    <w:qFormat/>
    <w:pPr>
      <w:spacing w:before="0" w:after="200"/>
      <w:ind w:left="720" w:hanging="0"/>
      <w:contextualSpacing/>
    </w:pPr>
    <w:rPr/>
  </w:style>
  <w:style w:type="numbering" w:styleId="WW8Num30">
    <w:name w:val="WW8Num30"/>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LibreOffice/5.1.4.2$Linux_X86_64 LibreOffice_project/10m0$Build-2</Application>
  <Pages>2</Pages>
  <Words>426</Words>
  <Characters>2561</Characters>
  <CharactersWithSpaces>2980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2017-05-02T13:03:43Z</dcterms:created>
  <dc:creator/>
  <dc:description/>
  <dc:language>en-US</dc:language>
  <cp:lastModifiedBy/>
  <dcterms:modified xsi:type="dcterms:W3CDTF">2017-05-18T16:30:21Z</dcterms:modified>
  <cp:revision>8</cp:revision>
  <dc:subject/>
  <dc:title/>
</cp:coreProperties>
</file>