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color w:val="000000"/>
        </w:rPr>
      </w:pPr>
      <w:r>
        <w:rPr>
          <w:b/>
          <w:bCs/>
          <w:color w:val="000000"/>
          <w:szCs w:val="24"/>
        </w:rPr>
        <w:t>2016</w:t>
      </w:r>
    </w:p>
    <w:p>
      <w:pPr>
        <w:pStyle w:val="Normal"/>
        <w:numPr>
          <w:ilvl w:val="0"/>
          <w:numId w:val="0"/>
        </w:numPr>
        <w:spacing w:lineRule="auto" w:line="240"/>
        <w:ind w:left="720" w:hanging="0"/>
        <w:rPr>
          <w:b/>
          <w:b/>
          <w:bCs/>
          <w:color w:val="000000"/>
          <w:szCs w:val="24"/>
        </w:rPr>
      </w:pPr>
      <w:r>
        <w:rPr>
          <w:b/>
          <w:bCs/>
          <w:color w:val="000000"/>
          <w:szCs w:val="24"/>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lang w:val="en-US"/>
        </w:rPr>
        <w:t xml:space="preserve">Ultrafast relaxation of electronically-excited states of a styryl dye in the cavity of cucurbit[n]urils (n = 6,7) / N. Kh. Petrov, D. A. Ivanov, Yu. A. Shandarov, I. V. Kryukov, A. A. Ivanov, M. V. Alfimov, N. A. Lobova, S. P. Gromov // Chem. </w:t>
      </w:r>
      <w:r>
        <w:rPr>
          <w:rFonts w:cs="Times New Roman" w:ascii="Times New Roman" w:hAnsi="Times New Roman"/>
          <w:b w:val="false"/>
          <w:bCs w:val="false"/>
          <w:color w:val="000000"/>
          <w:spacing w:val="1"/>
          <w:sz w:val="24"/>
          <w:szCs w:val="24"/>
        </w:rPr>
        <w:t xml:space="preserve">Phys. </w:t>
      </w:r>
      <w:r>
        <w:rPr>
          <w:rFonts w:cs="Times New Roman" w:ascii="Times New Roman" w:hAnsi="Times New Roman"/>
          <w:b w:val="false"/>
          <w:bCs w:val="false"/>
          <w:color w:val="000000"/>
          <w:spacing w:val="1"/>
          <w:sz w:val="24"/>
          <w:szCs w:val="24"/>
          <w:lang w:val="en-US"/>
        </w:rPr>
        <w:t xml:space="preserve">Lett. </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 2016. </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 V. 647. </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 P. 157</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160.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lang w:val="en-US"/>
        </w:rPr>
      </w:pPr>
      <w:r>
        <w:rPr>
          <w:rFonts w:cs="Times New Roman" w:ascii="Times New Roman" w:hAnsi="Times New Roman"/>
          <w:b w:val="false"/>
          <w:bCs w:val="false"/>
          <w:color w:val="000000"/>
          <w:spacing w:val="1"/>
          <w:sz w:val="24"/>
          <w:szCs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lang w:val="en-US"/>
        </w:rPr>
        <w:t xml:space="preserve">Synthesis, Structure, and Cross-[2 + 2] Photocycloaddition of Pseudodimeric Complexes Based on Ammonioalkyl Styryl Dyes / S. P. Gromov, A. I. Vedernikov, S. K. Sazonov, L. G. Kuz’mina, N. A. Lobova, Y. A. Strelenko, J. A. K. Howard // New J. Chem. — 2016. — V. 40. — P. 7542—7556.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lang w:val="en-US"/>
        </w:rPr>
      </w:pPr>
      <w:r>
        <w:rPr>
          <w:rFonts w:cs="Times New Roman" w:ascii="Times New Roman" w:hAnsi="Times New Roman"/>
          <w:b w:val="false"/>
          <w:bCs w:val="false"/>
          <w:color w:val="000000"/>
          <w:spacing w:val="1"/>
          <w:sz w:val="24"/>
          <w:szCs w:val="24"/>
          <w:lang w:val="en-US"/>
        </w:rPr>
      </w:r>
    </w:p>
    <w:p>
      <w:pPr>
        <w:pStyle w:val="Normal"/>
        <w:widowControl w:val="false"/>
        <w:numPr>
          <w:ilvl w:val="0"/>
          <w:numId w:val="1"/>
        </w:numPr>
        <w:spacing w:lineRule="auto" w:line="240" w:before="0" w:after="120"/>
        <w:contextualSpacing/>
        <w:rPr>
          <w:color w:val="000000"/>
        </w:rPr>
      </w:pPr>
      <w:bookmarkStart w:id="0" w:name="OLE_LINK6"/>
      <w:r>
        <w:rPr>
          <w:rFonts w:cs="Times New Roman" w:ascii="Times New Roman" w:hAnsi="Times New Roman"/>
          <w:color w:val="000000"/>
          <w:spacing w:val="1"/>
          <w:sz w:val="24"/>
          <w:szCs w:val="24"/>
          <w:lang w:val="en-US"/>
        </w:rPr>
        <w:t>Supramolecular Dimerization and [2+2] Photocycloaddition Reactions of the Crown Ether Styryl Dyes Containing a Tethered Ammonium Group: Structure – Property Relationships</w:t>
      </w:r>
      <w:bookmarkEnd w:id="0"/>
      <w:r>
        <w:rPr>
          <w:rFonts w:cs="Times New Roman" w:ascii="Times New Roman" w:hAnsi="Times New Roman"/>
          <w:color w:val="000000"/>
          <w:spacing w:val="1"/>
          <w:sz w:val="24"/>
          <w:szCs w:val="24"/>
          <w:lang w:val="en-US"/>
        </w:rPr>
        <w:t xml:space="preserve"> / E. N. Ushakov, A. I. Vedernikov, N. A. Lobova, S. N. Dmitrieva, L. G. Kuz’mina, A. A. Moiseeva, J. A. K. Howard, M. V. Alfimov, S. P. Gromov // J. Phys. Chem. A. </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 2015. </w:t>
      </w:r>
      <w:r>
        <w:rPr>
          <w:rFonts w:cs="Times New Roman" w:ascii="Times New Roman" w:hAnsi="Times New Roman"/>
          <w:color w:val="000000"/>
          <w:sz w:val="24"/>
          <w:szCs w:val="24"/>
          <w:lang w:val="en-US"/>
        </w:rPr>
        <w:t xml:space="preserve">— </w:t>
      </w:r>
      <w:r>
        <w:rPr>
          <w:rFonts w:cs="Times New Roman" w:ascii="Times New Roman" w:hAnsi="Times New Roman"/>
          <w:color w:val="000000"/>
          <w:spacing w:val="1"/>
          <w:sz w:val="24"/>
          <w:szCs w:val="24"/>
          <w:lang w:val="en-US"/>
        </w:rPr>
        <w:t xml:space="preserve">V. 119. </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 I</w:t>
      </w:r>
      <w:r>
        <w:rPr>
          <w:rFonts w:cs="Times New Roman" w:ascii="Times New Roman" w:hAnsi="Times New Roman"/>
          <w:color w:val="000000"/>
          <w:spacing w:val="-1"/>
          <w:sz w:val="24"/>
          <w:szCs w:val="24"/>
          <w:lang w:val="en-US"/>
        </w:rPr>
        <w:t>ssu</w:t>
      </w:r>
      <w:r>
        <w:rPr>
          <w:rFonts w:cs="Times New Roman" w:ascii="Times New Roman" w:hAnsi="Times New Roman"/>
          <w:color w:val="000000"/>
          <w:sz w:val="24"/>
          <w:szCs w:val="24"/>
          <w:lang w:val="en-US"/>
        </w:rPr>
        <w:t>e</w:t>
      </w:r>
      <w:r>
        <w:rPr>
          <w:rFonts w:cs="Times New Roman" w:ascii="Times New Roman" w:hAnsi="Times New Roman"/>
          <w:color w:val="000000"/>
          <w:spacing w:val="1"/>
          <w:sz w:val="24"/>
          <w:szCs w:val="24"/>
          <w:lang w:val="en-US"/>
        </w:rPr>
        <w:t xml:space="preserve"> 52 </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 P. 13025</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13037. </w:t>
      </w:r>
      <w:r>
        <w:rPr>
          <w:rFonts w:cs="Times New Roman" w:ascii="Times New Roman" w:hAnsi="Times New Roman"/>
          <w:color w:val="000000"/>
          <w:spacing w:val="1"/>
          <w:sz w:val="24"/>
          <w:szCs w:val="24"/>
        </w:rPr>
        <w:t>Не вошла в 2015г.</w:t>
      </w:r>
    </w:p>
    <w:p>
      <w:pPr>
        <w:pStyle w:val="Normal"/>
        <w:widowControl w:val="false"/>
        <w:numPr>
          <w:ilvl w:val="0"/>
          <w:numId w:val="0"/>
        </w:numPr>
        <w:spacing w:lineRule="auto" w:line="240" w:before="0" w:after="120"/>
        <w:ind w:left="720" w:hanging="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r>
    </w:p>
    <w:p>
      <w:pPr>
        <w:pStyle w:val="Style14"/>
        <w:widowControl w:val="false"/>
        <w:numPr>
          <w:ilvl w:val="0"/>
          <w:numId w:val="1"/>
        </w:numPr>
        <w:spacing w:lineRule="auto" w:line="240" w:before="0" w:after="0"/>
        <w:contextualSpacing/>
        <w:rPr>
          <w:color w:val="000000"/>
        </w:rPr>
      </w:pPr>
      <w:r>
        <w:rPr>
          <w:rFonts w:cs="Times New Roman" w:ascii="Times New Roman" w:hAnsi="Times New Roman"/>
          <w:color w:val="000000"/>
          <w:spacing w:val="1"/>
          <w:sz w:val="24"/>
          <w:szCs w:val="24"/>
          <w:lang w:val="en-US"/>
        </w:rPr>
        <w:t xml:space="preserve">An ultrafast pre-organization of the [2 +2] photocycloaddition of styryl dyes in 1: 2 host- guest complexes with cucurbit[8]urils. </w:t>
      </w:r>
      <w:bookmarkStart w:id="1" w:name="OLE_LINK79"/>
      <w:r>
        <w:rPr>
          <w:rFonts w:cs="Times New Roman" w:ascii="Times New Roman" w:hAnsi="Times New Roman"/>
          <w:color w:val="000000"/>
          <w:spacing w:val="1"/>
          <w:sz w:val="24"/>
          <w:szCs w:val="24"/>
          <w:lang w:val="en-US"/>
        </w:rPr>
        <w:t>/</w:t>
      </w:r>
      <w:bookmarkEnd w:id="1"/>
      <w:r>
        <w:rPr>
          <w:rFonts w:cs="Times New Roman" w:ascii="Times New Roman" w:hAnsi="Times New Roman"/>
          <w:color w:val="000000"/>
          <w:spacing w:val="1"/>
          <w:sz w:val="24"/>
          <w:szCs w:val="24"/>
          <w:lang w:val="en-US"/>
        </w:rPr>
        <w:t xml:space="preserve"> N. Kh. Petrov , D.A. Ivanov, Yu.A. Shandarov, I.V. Kryukov, A.D. Svirida, V.G. Avakyan, M.V. Alfimov, N.A. Lobova, S.P. Gromov </w:t>
      </w:r>
      <w:bookmarkStart w:id="2" w:name="OLE_LINK80"/>
      <w:bookmarkStart w:id="3" w:name="OLE_LINK81"/>
      <w:bookmarkStart w:id="4" w:name="OLE_LINK82"/>
      <w:r>
        <w:rPr>
          <w:rFonts w:cs="Times New Roman" w:ascii="Times New Roman" w:hAnsi="Times New Roman"/>
          <w:color w:val="000000"/>
          <w:spacing w:val="1"/>
          <w:sz w:val="24"/>
          <w:szCs w:val="24"/>
          <w:lang w:val="en-US"/>
        </w:rPr>
        <w:t xml:space="preserve">// Chem Phys Letters. </w:t>
      </w:r>
      <w:bookmarkEnd w:id="2"/>
      <w:bookmarkEnd w:id="3"/>
      <w:bookmarkEnd w:id="4"/>
      <w:r>
        <w:rPr>
          <w:rFonts w:cs="Times New Roman" w:ascii="Times New Roman" w:hAnsi="Times New Roman"/>
          <w:color w:val="000000"/>
          <w:spacing w:val="1"/>
          <w:sz w:val="24"/>
          <w:szCs w:val="24"/>
          <w:lang w:val="en-US"/>
        </w:rPr>
        <w:t>- в печати.</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lang w:val="en-US"/>
        </w:rPr>
      </w:pPr>
      <w:r>
        <w:rPr>
          <w:rFonts w:cs="Times New Roman" w:ascii="Times New Roman" w:hAnsi="Times New Roman"/>
          <w:b w:val="false"/>
          <w:bCs w:val="false"/>
          <w:color w:val="000000"/>
          <w:spacing w:val="1"/>
          <w:sz w:val="24"/>
          <w:szCs w:val="24"/>
          <w:lang w:val="en-US"/>
        </w:rPr>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0"/>
        </w:numPr>
        <w:spacing w:lineRule="auto" w:line="240"/>
        <w:ind w:left="720" w:hanging="0"/>
        <w:rPr>
          <w:color w:val="000000"/>
        </w:rPr>
      </w:pPr>
      <w:r>
        <w:rPr>
          <w:b/>
          <w:bCs/>
          <w:color w:val="000000"/>
          <w:szCs w:val="24"/>
        </w:rPr>
        <w:t>2015</w:t>
      </w:r>
    </w:p>
    <w:p>
      <w:pPr>
        <w:pStyle w:val="Normal"/>
        <w:numPr>
          <w:ilvl w:val="0"/>
          <w:numId w:val="0"/>
        </w:numPr>
        <w:spacing w:lineRule="auto" w:line="240"/>
        <w:ind w:left="720" w:hanging="0"/>
        <w:rPr>
          <w:color w:val="000000"/>
          <w:szCs w:val="24"/>
        </w:rPr>
      </w:pPr>
      <w:r>
        <w:rPr>
          <w:color w:val="000000"/>
          <w:szCs w:val="24"/>
        </w:rPr>
      </w:r>
    </w:p>
    <w:p>
      <w:pPr>
        <w:pStyle w:val="Normal"/>
        <w:numPr>
          <w:ilvl w:val="0"/>
          <w:numId w:val="1"/>
        </w:numPr>
        <w:spacing w:lineRule="auto" w:line="240"/>
        <w:jc w:val="both"/>
        <w:rPr>
          <w:b w:val="false"/>
          <w:b w:val="false"/>
          <w:bCs w:val="false"/>
        </w:rPr>
      </w:pPr>
      <w:r>
        <w:rPr>
          <w:b w:val="false"/>
          <w:bCs w:val="false"/>
          <w:color w:val="000000"/>
          <w:szCs w:val="24"/>
          <w:lang w:eastAsia="ru-RU"/>
        </w:rPr>
        <w:t>2. П. В. Лебедев-Степанов, Н.А. Лобова, А.И. Ведерников, А.О. Белушенко, Н.Н. Шевченко, А.Ю. Меньшикова, Е.Ю. Грушникова, М.В. Алфимов, С.П. Громов «Процессы сорбции дикатионов стириловых красителей с N-аммониоалкильным заместителем различной длины на поверхности полистирольных субмикрочастиц.» // Российские нанотехнологии. 2015, т. 10, № 9-10, с. 5-11.</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1"/>
        </w:numPr>
        <w:jc w:val="both"/>
        <w:rPr>
          <w:color w:val="000000"/>
        </w:rPr>
      </w:pPr>
      <w:r>
        <w:rPr>
          <w:color w:val="000000"/>
          <w:sz w:val="28"/>
          <w:szCs w:val="28"/>
        </w:rPr>
        <w:t xml:space="preserve"> </w:t>
      </w:r>
      <w:r>
        <w:rPr>
          <w:rFonts w:eastAsia="Calibri" w:cs="Times New Roman"/>
          <w:color w:val="000000"/>
        </w:rPr>
        <w:t xml:space="preserve">Атабекян Л. С., Лобова Н. А., Ведерников А. И., Громов С. П., Чибисов А. К. “Фотоника </w:t>
      </w:r>
      <w:r>
        <w:rPr>
          <w:rFonts w:eastAsia="Calibri" w:cs="Times New Roman"/>
          <w:i/>
          <w:iCs/>
          <w:color w:val="000000"/>
        </w:rPr>
        <w:t>N</w:t>
      </w:r>
      <w:r>
        <w:rPr>
          <w:rFonts w:eastAsia="Calibri" w:cs="Times New Roman"/>
          <w:color w:val="000000"/>
        </w:rPr>
        <w:t xml:space="preserve">-аммонийалкильных производных азакраунсодержащих стириловых красителей.” // </w:t>
      </w:r>
      <w:r>
        <w:rPr>
          <w:rFonts w:eastAsia="Calibri" w:cs="Times New Roman"/>
          <w:i/>
          <w:color w:val="000000"/>
        </w:rPr>
        <w:t>Химия высоких энергий</w:t>
      </w:r>
      <w:r>
        <w:rPr>
          <w:rFonts w:eastAsia="Calibri" w:cs="Times New Roman"/>
          <w:color w:val="000000"/>
        </w:rPr>
        <w:t xml:space="preserve"> – 2015. – Т. 49. - № 4. – С. 276-282 [</w:t>
      </w:r>
      <w:bookmarkStart w:id="5" w:name="OLE_LINK3"/>
      <w:r>
        <w:rPr>
          <w:rFonts w:eastAsia="Calibri" w:cs="Times New Roman"/>
          <w:i/>
          <w:color w:val="000000"/>
        </w:rPr>
        <w:t>High Energy Chemistry</w:t>
      </w:r>
      <w:bookmarkEnd w:id="5"/>
      <w:r>
        <w:rPr>
          <w:rFonts w:eastAsia="Calibri" w:cs="Times New Roman"/>
          <w:color w:val="000000"/>
        </w:rPr>
        <w:t xml:space="preserve">, 2015, 49, 4, </w:t>
      </w:r>
      <w:bookmarkStart w:id="6" w:name="OLE_LINK4"/>
      <w:r>
        <w:rPr>
          <w:rFonts w:eastAsia="Calibri" w:cs="Times New Roman"/>
          <w:color w:val="000000"/>
        </w:rPr>
        <w:t>243</w:t>
      </w:r>
      <w:bookmarkEnd w:id="6"/>
      <w:r>
        <w:rPr>
          <w:rFonts w:eastAsia="Calibri" w:cs="Times New Roman"/>
          <w:color w:val="000000"/>
        </w:rPr>
        <w:t>-</w:t>
      </w:r>
      <w:bookmarkStart w:id="7" w:name="OLE_LINK5"/>
      <w:r>
        <w:rPr>
          <w:rFonts w:eastAsia="Calibri" w:cs="Times New Roman"/>
          <w:color w:val="000000"/>
        </w:rPr>
        <w:t>248</w:t>
      </w:r>
      <w:bookmarkEnd w:id="7"/>
      <w:r>
        <w:rPr>
          <w:rFonts w:eastAsia="Calibri" w:cs="Times New Roman"/>
          <w:color w:val="000000"/>
        </w:rPr>
        <w:t xml:space="preserve">]; </w:t>
      </w:r>
      <w:r>
        <w:rPr>
          <w:rFonts w:eastAsia="Calibri" w:cs="Times New Roman"/>
          <w:color w:val="000000"/>
          <w:lang w:val="en-GB"/>
        </w:rPr>
        <w:t>DOI</w:t>
      </w:r>
      <w:r>
        <w:rPr>
          <w:rFonts w:eastAsia="Calibri" w:cs="Times New Roman"/>
          <w:color w:val="000000"/>
        </w:rPr>
        <w:t>: 10.1134/S0018143915040037.</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color w:val="000000"/>
        </w:rPr>
      </w:pPr>
      <w:r>
        <w:rPr>
          <w:rFonts w:eastAsia="Calibri" w:cs="Times New Roman"/>
          <w:color w:val="000000"/>
        </w:rPr>
        <w:t>Ведерников А. И., Лобова Н. А., Александрова Н. А., Громов</w:t>
      </w:r>
      <w:r>
        <w:rPr>
          <w:rFonts w:eastAsia="Calibri" w:cs="Times New Roman"/>
          <w:i/>
          <w:iCs/>
          <w:color w:val="000000"/>
        </w:rPr>
        <w:t xml:space="preserve"> </w:t>
      </w:r>
      <w:r>
        <w:rPr>
          <w:rFonts w:eastAsia="Calibri" w:cs="Times New Roman"/>
          <w:color w:val="000000"/>
        </w:rPr>
        <w:t xml:space="preserve">С. П. “Исследование комплексообразования стирилгетероциклов с кавитандами спектральными методами.” // </w:t>
      </w:r>
      <w:r>
        <w:rPr>
          <w:rFonts w:eastAsia="Calibri" w:cs="Times New Roman"/>
          <w:i/>
          <w:color w:val="000000"/>
        </w:rPr>
        <w:t xml:space="preserve">Изв. РАН, </w:t>
      </w:r>
      <w:r>
        <w:rPr>
          <w:rFonts w:eastAsia="Calibri" w:cs="Times New Roman"/>
          <w:i/>
          <w:color w:val="000000"/>
          <w:lang w:val="en-US"/>
        </w:rPr>
        <w:t>C</w:t>
      </w:r>
      <w:r>
        <w:rPr>
          <w:rFonts w:eastAsia="Calibri" w:cs="Times New Roman"/>
          <w:i/>
          <w:color w:val="000000"/>
        </w:rPr>
        <w:t>ер. хим</w:t>
      </w:r>
      <w:r>
        <w:rPr>
          <w:rFonts w:eastAsia="Calibri" w:cs="Times New Roman"/>
          <w:color w:val="000000"/>
        </w:rPr>
        <w:t>. – 2015 – № 10. - С. 2459-2472.</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0"/>
        </w:numPr>
        <w:ind w:left="720" w:hanging="0"/>
        <w:jc w:val="both"/>
        <w:rPr>
          <w:color w:val="000000"/>
        </w:rPr>
      </w:pPr>
      <w:r>
        <w:rPr>
          <w:color w:val="000000"/>
        </w:rPr>
      </w:r>
    </w:p>
    <w:p>
      <w:pPr>
        <w:pStyle w:val="Normal"/>
        <w:numPr>
          <w:ilvl w:val="0"/>
          <w:numId w:val="0"/>
        </w:numPr>
        <w:spacing w:lineRule="auto" w:line="240"/>
        <w:ind w:left="720" w:hanging="0"/>
        <w:jc w:val="both"/>
        <w:rPr>
          <w:b/>
          <w:b/>
          <w:bCs/>
          <w:color w:val="000000"/>
          <w:sz w:val="28"/>
          <w:szCs w:val="28"/>
        </w:rPr>
      </w:pPr>
      <w:r>
        <w:rPr>
          <w:b/>
          <w:bCs/>
          <w:color w:val="000000"/>
          <w:sz w:val="28"/>
          <w:szCs w:val="28"/>
        </w:rPr>
      </w:r>
    </w:p>
    <w:p>
      <w:pPr>
        <w:pStyle w:val="Normal"/>
        <w:numPr>
          <w:ilvl w:val="0"/>
          <w:numId w:val="0"/>
        </w:numPr>
        <w:spacing w:lineRule="auto" w:line="240"/>
        <w:ind w:left="720" w:hanging="0"/>
        <w:rPr>
          <w:color w:val="000000"/>
        </w:rPr>
      </w:pPr>
      <w:r>
        <w:rPr>
          <w:b/>
          <w:bCs/>
          <w:color w:val="000000"/>
          <w:szCs w:val="24"/>
        </w:rPr>
        <w:t>2014</w:t>
      </w:r>
    </w:p>
    <w:p>
      <w:pPr>
        <w:pStyle w:val="Normal"/>
        <w:numPr>
          <w:ilvl w:val="0"/>
          <w:numId w:val="0"/>
        </w:numPr>
        <w:spacing w:lineRule="auto" w:line="240"/>
        <w:ind w:left="720" w:hanging="0"/>
        <w:rPr>
          <w:b/>
          <w:b/>
          <w:bCs/>
          <w:color w:val="000000"/>
          <w:szCs w:val="24"/>
        </w:rPr>
      </w:pPr>
      <w:r>
        <w:rPr>
          <w:b/>
          <w:bCs/>
          <w:color w:val="000000"/>
          <w:szCs w:val="24"/>
        </w:rPr>
      </w:r>
    </w:p>
    <w:p>
      <w:pPr>
        <w:pStyle w:val="Normal"/>
        <w:widowControl w:val="false"/>
        <w:numPr>
          <w:ilvl w:val="0"/>
          <w:numId w:val="1"/>
        </w:numPr>
        <w:spacing w:lineRule="auto" w:line="240" w:before="0" w:after="0"/>
        <w:contextualSpacing/>
        <w:jc w:val="both"/>
        <w:rPr>
          <w:b w:val="false"/>
          <w:b w:val="false"/>
          <w:bCs w:val="false"/>
          <w:color w:val="000000"/>
        </w:rPr>
      </w:pPr>
      <w:r>
        <w:rPr>
          <w:b w:val="false"/>
          <w:bCs w:val="false"/>
          <w:color w:val="000000"/>
          <w:szCs w:val="24"/>
          <w:lang w:val="en-US"/>
        </w:rPr>
        <w:t xml:space="preserve">Gromov S. P., Vedernikov A. I., Lobova N. A., Kuz’mina L. G., Dmitrieva S. N., Strelenko Yu. A., Howard J. A. K. “Synthesis, Structure, and Properties of Supramolecular Photoswitches Based on Ammonioalkyl Derivatives of Crown-Ether Styryl Dyes” // </w:t>
      </w:r>
      <w:r>
        <w:rPr>
          <w:b w:val="false"/>
          <w:bCs w:val="false"/>
          <w:i/>
          <w:color w:val="000000"/>
          <w:szCs w:val="24"/>
          <w:lang w:val="en-US"/>
        </w:rPr>
        <w:t>J. Org. Chem.</w:t>
      </w:r>
      <w:r>
        <w:rPr>
          <w:b w:val="false"/>
          <w:bCs w:val="false"/>
          <w:color w:val="000000"/>
          <w:szCs w:val="24"/>
          <w:lang w:val="en-US"/>
        </w:rPr>
        <w:t xml:space="preserve"> – 2014. – V. 79. – </w:t>
      </w:r>
      <w:bookmarkStart w:id="8" w:name="OLE_LINK129"/>
      <w:bookmarkStart w:id="9" w:name="OLE_LINK128"/>
      <w:bookmarkStart w:id="10" w:name="OLE_LINK127"/>
      <w:r>
        <w:rPr>
          <w:b w:val="false"/>
          <w:bCs w:val="false"/>
          <w:color w:val="000000"/>
          <w:szCs w:val="24"/>
          <w:lang w:val="en-US"/>
        </w:rPr>
        <w:t>No. 23. - P. 11416−11430</w:t>
      </w:r>
      <w:bookmarkEnd w:id="8"/>
      <w:bookmarkEnd w:id="9"/>
      <w:bookmarkEnd w:id="10"/>
      <w:r>
        <w:rPr>
          <w:b w:val="false"/>
          <w:bCs w:val="false"/>
          <w:color w:val="000000"/>
          <w:szCs w:val="24"/>
          <w:lang w:val="en-US"/>
        </w:rPr>
        <w:t>.</w:t>
      </w:r>
    </w:p>
    <w:p>
      <w:pPr>
        <w:pStyle w:val="Normal"/>
        <w:numPr>
          <w:ilvl w:val="0"/>
          <w:numId w:val="0"/>
        </w:numPr>
        <w:spacing w:lineRule="auto" w:line="240"/>
        <w:ind w:left="720" w:hanging="0"/>
        <w:rPr>
          <w:b w:val="false"/>
          <w:b w:val="false"/>
          <w:bCs w:val="false"/>
          <w:color w:val="000000"/>
          <w:szCs w:val="24"/>
        </w:rPr>
      </w:pPr>
      <w:r>
        <w:rPr>
          <w:b w:val="false"/>
          <w:bCs w:val="false"/>
          <w:color w:val="000000"/>
          <w:szCs w:val="24"/>
        </w:rPr>
      </w:r>
    </w:p>
    <w:p>
      <w:pPr>
        <w:pStyle w:val="Normal"/>
        <w:numPr>
          <w:ilvl w:val="0"/>
          <w:numId w:val="0"/>
        </w:numPr>
        <w:spacing w:lineRule="auto" w:line="240"/>
        <w:ind w:left="720" w:hanging="0"/>
        <w:rPr>
          <w:color w:val="000000"/>
        </w:rPr>
      </w:pPr>
      <w:r>
        <w:rPr>
          <w:b/>
          <w:bCs/>
          <w:color w:val="000000"/>
          <w:szCs w:val="24"/>
        </w:rPr>
        <w:t>2013</w:t>
      </w:r>
    </w:p>
    <w:p>
      <w:pPr>
        <w:pStyle w:val="Normal"/>
        <w:numPr>
          <w:ilvl w:val="0"/>
          <w:numId w:val="0"/>
        </w:numPr>
        <w:spacing w:lineRule="auto" w:line="240"/>
        <w:ind w:left="720" w:hanging="0"/>
        <w:rPr>
          <w:color w:val="000000"/>
          <w:szCs w:val="24"/>
        </w:rPr>
      </w:pPr>
      <w:r>
        <w:rPr>
          <w:color w:val="000000"/>
          <w:szCs w:val="24"/>
        </w:rPr>
      </w:r>
    </w:p>
    <w:p>
      <w:pPr>
        <w:pStyle w:val="Normal"/>
        <w:widowControl w:val="false"/>
        <w:numPr>
          <w:ilvl w:val="0"/>
          <w:numId w:val="1"/>
        </w:numPr>
        <w:spacing w:lineRule="auto" w:line="240" w:before="0" w:after="0"/>
        <w:contextualSpacing/>
        <w:jc w:val="both"/>
        <w:rPr>
          <w:b w:val="false"/>
          <w:b w:val="false"/>
          <w:bCs w:val="false"/>
        </w:rPr>
      </w:pPr>
      <w:r>
        <w:rPr>
          <w:b w:val="false"/>
          <w:bCs w:val="false"/>
          <w:color w:val="000000"/>
          <w:szCs w:val="24"/>
          <w:lang w:val="en-US"/>
        </w:rPr>
        <w:t xml:space="preserve">Atabekyan L. S., Vedernikov A. I., Avakyan V. G., Lobova N. A., Gromov S. P., Chibisov A. K. “Photoprocesses in styryl dyes and their pseudorotaxane complexes with cucurbit[7]uril” // </w:t>
      </w:r>
      <w:r>
        <w:rPr>
          <w:b w:val="false"/>
          <w:bCs w:val="false"/>
          <w:i/>
          <w:color w:val="000000"/>
          <w:szCs w:val="24"/>
          <w:lang w:val="en-US"/>
        </w:rPr>
        <w:t>J. Photochem. Photobiol. A.</w:t>
      </w:r>
      <w:r>
        <w:rPr>
          <w:b w:val="false"/>
          <w:bCs w:val="false"/>
          <w:color w:val="000000"/>
          <w:szCs w:val="24"/>
          <w:lang w:val="en-US"/>
        </w:rPr>
        <w:t xml:space="preserve"> - 2013. - V. 253. - P. 52–61.</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0"/>
        </w:numPr>
        <w:spacing w:lineRule="auto" w:line="240"/>
        <w:ind w:left="720" w:hanging="0"/>
        <w:rPr>
          <w:color w:val="000000"/>
        </w:rPr>
      </w:pPr>
      <w:r>
        <w:rPr>
          <w:b/>
          <w:bCs/>
          <w:color w:val="000000"/>
          <w:szCs w:val="24"/>
        </w:rPr>
        <w:t>2012</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1"/>
        </w:numPr>
        <w:spacing w:lineRule="auto" w:line="240"/>
        <w:jc w:val="both"/>
        <w:rPr>
          <w:color w:val="000000"/>
        </w:rPr>
      </w:pPr>
      <w:r>
        <w:rPr>
          <w:b w:val="false"/>
          <w:bCs w:val="false"/>
          <w:color w:val="000000"/>
          <w:szCs w:val="24"/>
        </w:rPr>
        <w:t xml:space="preserve">А. И. Ведерников, Н. А. Лобова, Л. Г. Кузьмина, Н. А. Александрова, С. К. Сазонов, Дж. А. К. Ховард, С. П. Громов «Синтез краунсодержащих и модельных гетарилфенилацетиленов и ацетиленильных красителей.» // </w:t>
      </w:r>
      <w:r>
        <w:rPr>
          <w:b w:val="false"/>
          <w:bCs w:val="false"/>
          <w:i/>
          <w:color w:val="000000"/>
          <w:szCs w:val="24"/>
        </w:rPr>
        <w:t>Изв. АН, Сер. хим.</w:t>
      </w:r>
      <w:r>
        <w:rPr>
          <w:b w:val="false"/>
          <w:bCs w:val="false"/>
          <w:color w:val="000000"/>
          <w:szCs w:val="24"/>
        </w:rPr>
        <w:t xml:space="preserve"> – 2012. - № 1. – С. 146-155.</w:t>
      </w:r>
      <w:r>
        <w:rPr>
          <w:b w:val="false"/>
          <w:bCs w:val="false"/>
          <w:color w:val="000000"/>
          <w:szCs w:val="24"/>
          <w:lang w:val="en-US"/>
        </w:rPr>
        <w:t xml:space="preserve"> </w:t>
      </w:r>
    </w:p>
    <w:p>
      <w:pPr>
        <w:pStyle w:val="Normal"/>
        <w:numPr>
          <w:ilvl w:val="0"/>
          <w:numId w:val="1"/>
        </w:numPr>
        <w:spacing w:lineRule="auto" w:line="240"/>
        <w:jc w:val="both"/>
        <w:rPr>
          <w:rFonts w:cs="Symbol"/>
        </w:rPr>
      </w:pPr>
      <w:r>
        <w:rPr>
          <w:rFonts w:cs="Symbol"/>
          <w:b w:val="false"/>
          <w:bCs w:val="false"/>
          <w:color w:val="000000"/>
          <w:szCs w:val="24"/>
          <w:lang w:val="en-US"/>
        </w:rPr>
        <w:t xml:space="preserve">Л. С. Атабекян, Н. А. Лобова, А. И. Ведерников, С. П. Громов, А. К. Чибисов «Фотоника азакраунсодержащего стирилового красителя и его комплексов с ионами металлов. Сообщение 1. Триплетные состояния» // </w:t>
      </w:r>
      <w:r>
        <w:rPr>
          <w:rFonts w:cs="Symbol"/>
          <w:b w:val="false"/>
          <w:bCs w:val="false"/>
          <w:i/>
          <w:color w:val="000000"/>
          <w:szCs w:val="24"/>
          <w:lang w:val="en-US"/>
        </w:rPr>
        <w:t>Химия высоких энергий.</w:t>
      </w:r>
      <w:r>
        <w:rPr>
          <w:rFonts w:cs="Symbol"/>
          <w:b w:val="false"/>
          <w:bCs w:val="false"/>
          <w:color w:val="000000"/>
          <w:szCs w:val="24"/>
          <w:lang w:val="en-US"/>
        </w:rPr>
        <w:t xml:space="preserve"> – 2012. – Т. 46. - № 2. - С. 142–147. </w:t>
      </w:r>
    </w:p>
    <w:p>
      <w:pPr>
        <w:pStyle w:val="Normal"/>
        <w:numPr>
          <w:ilvl w:val="0"/>
          <w:numId w:val="0"/>
        </w:numPr>
        <w:spacing w:lineRule="auto" w:line="240"/>
        <w:ind w:left="720" w:hanging="0"/>
        <w:rPr>
          <w:color w:val="000000"/>
          <w:szCs w:val="24"/>
        </w:rPr>
      </w:pPr>
      <w:r>
        <w:rPr>
          <w:color w:val="000000"/>
          <w:szCs w:val="24"/>
        </w:rPr>
      </w:r>
    </w:p>
    <w:p>
      <w:pPr>
        <w:pStyle w:val="Normal"/>
        <w:numPr>
          <w:ilvl w:val="0"/>
          <w:numId w:val="0"/>
        </w:numPr>
        <w:spacing w:lineRule="auto" w:line="240"/>
        <w:ind w:left="720" w:hanging="0"/>
        <w:rPr>
          <w:b/>
          <w:b/>
          <w:bCs/>
        </w:rPr>
      </w:pPr>
      <w:r>
        <w:rPr>
          <w:b/>
          <w:bCs/>
          <w:color w:val="000000"/>
          <w:szCs w:val="24"/>
        </w:rPr>
        <w:t>2011</w:t>
      </w:r>
    </w:p>
    <w:p>
      <w:pPr>
        <w:pStyle w:val="Normal"/>
        <w:numPr>
          <w:ilvl w:val="0"/>
          <w:numId w:val="0"/>
        </w:numPr>
        <w:spacing w:lineRule="auto" w:line="240"/>
        <w:ind w:left="720" w:hanging="0"/>
        <w:rPr>
          <w:color w:val="000000"/>
          <w:szCs w:val="24"/>
        </w:rPr>
      </w:pPr>
      <w:r>
        <w:rPr>
          <w:color w:val="000000"/>
          <w:szCs w:val="24"/>
        </w:rPr>
      </w:r>
    </w:p>
    <w:p>
      <w:pPr>
        <w:pStyle w:val="Normal"/>
        <w:numPr>
          <w:ilvl w:val="0"/>
          <w:numId w:val="1"/>
        </w:numPr>
        <w:spacing w:lineRule="auto" w:line="240"/>
        <w:jc w:val="both"/>
        <w:rPr>
          <w:color w:val="000000"/>
        </w:rPr>
      </w:pPr>
      <w:r>
        <w:rPr>
          <w:bCs/>
          <w:color w:val="000000"/>
          <w:szCs w:val="24"/>
        </w:rPr>
        <w:t>1. П.В. Лебедев-Степанов, С.П. Громов, С.П. Молчанов, Н.А. Чернышов, И.С. Баталов, С.К. Сазонов, Н.А. Лобова, Н.Н. Шевченко, А.Ю. Меньшикова, М.В. Алфимов</w:t>
      </w:r>
      <w:r>
        <w:rPr>
          <w:color w:val="000000"/>
          <w:szCs w:val="24"/>
        </w:rPr>
        <w:t>. Управление самосборкой ансамблей модифицированных коллоидных частиц в микрокаплях раствора. Российские нанотехнологии. Т.6, №9-10. С.72-78</w:t>
      </w:r>
    </w:p>
    <w:p>
      <w:pPr>
        <w:pStyle w:val="Normal"/>
        <w:numPr>
          <w:ilvl w:val="0"/>
          <w:numId w:val="1"/>
        </w:numPr>
        <w:spacing w:lineRule="auto" w:line="240"/>
        <w:jc w:val="both"/>
        <w:rPr>
          <w:color w:val="000000"/>
        </w:rPr>
      </w:pPr>
      <w:r>
        <w:rPr>
          <w:color w:val="000000"/>
          <w:szCs w:val="24"/>
        </w:rPr>
        <w:t>Кузьмина Л. Г., Ведерников А. И., Сазонов С. К., Лобова Н. А., Чураков А. В.,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7. Особенности кристаллических структур гидроперхлоратов 4-стирилпиридинов и твердофазная реакция [2+2]</w:t>
        <w:noBreakHyphen/>
        <w:t xml:space="preserve">автофотоциклоприсоединения этих соединений.” // </w:t>
      </w:r>
      <w:r>
        <w:rPr>
          <w:i/>
          <w:color w:val="000000"/>
          <w:szCs w:val="24"/>
        </w:rPr>
        <w:t>Изв. АН, Сер. хим</w:t>
      </w:r>
      <w:r>
        <w:rPr>
          <w:color w:val="000000"/>
          <w:szCs w:val="24"/>
        </w:rPr>
        <w:t>. – 2011. - № 8. - С. 1708-1734.</w:t>
      </w:r>
    </w:p>
    <w:p>
      <w:pPr>
        <w:pStyle w:val="Normal"/>
        <w:numPr>
          <w:ilvl w:val="0"/>
          <w:numId w:val="1"/>
        </w:numPr>
        <w:spacing w:lineRule="auto" w:line="240"/>
        <w:jc w:val="both"/>
        <w:rPr>
          <w:color w:val="000000"/>
        </w:rPr>
      </w:pPr>
      <w:r>
        <w:rPr>
          <w:color w:val="000000"/>
          <w:szCs w:val="24"/>
        </w:rPr>
        <w:t xml:space="preserve">Рябчун А. В., Бобровский А. Ю., Шибаев В. П., Громов С. П., Лобова Н. А., Алфимов М. В. “Флуоресцентные и фотооптические свойства водородно-связанных полимерных жидкокристаллических композитов на основе производных стильбазола и краун-эфиров.” // </w:t>
      </w:r>
      <w:r>
        <w:rPr>
          <w:i/>
          <w:color w:val="000000"/>
          <w:szCs w:val="24"/>
        </w:rPr>
        <w:t>Высокомолекулярные соединения, Сер. А.</w:t>
      </w:r>
      <w:r>
        <w:rPr>
          <w:color w:val="000000"/>
          <w:szCs w:val="24"/>
        </w:rPr>
        <w:t xml:space="preserve"> - 2011. - Т. 53. - №. 8. – С. 1302–1312.</w:t>
      </w:r>
    </w:p>
    <w:p>
      <w:pPr>
        <w:pStyle w:val="Normal"/>
        <w:numPr>
          <w:ilvl w:val="0"/>
          <w:numId w:val="1"/>
        </w:numPr>
        <w:spacing w:lineRule="auto" w:line="240"/>
        <w:jc w:val="both"/>
        <w:rPr>
          <w:color w:val="000000"/>
        </w:rPr>
      </w:pPr>
      <w:r>
        <w:rPr>
          <w:color w:val="000000"/>
          <w:szCs w:val="24"/>
          <w:lang w:val="en-GB"/>
        </w:rPr>
        <w:t xml:space="preserve">Gromov S. P., Nazarov V. B., Avakyan V. G., Fomina M. V., Vedernikov A. I., Kuz’mina L. G., Vershinnikova T. G., Lobova N. A., Rudyak V. Yu., Alfimov M. V., Howard J. A. K. “Photoinduced protonation and mechanical motion in the cyclodextrin cavity: synthesis, structure and spectral properties of 4-(2-napthyl)pyridine and their pseudorotaxane complexes.” // </w:t>
      </w:r>
      <w:r>
        <w:rPr>
          <w:i/>
          <w:color w:val="000000"/>
          <w:szCs w:val="24"/>
          <w:lang w:val="en-GB"/>
        </w:rPr>
        <w:t>J. Photochem. Photobiol., A</w:t>
      </w:r>
      <w:r>
        <w:rPr>
          <w:color w:val="000000"/>
          <w:szCs w:val="24"/>
          <w:lang w:val="en-GB"/>
        </w:rPr>
        <w:t xml:space="preserve"> – 2011. – V. 217. – P. 87-99. </w:t>
      </w:r>
    </w:p>
    <w:p>
      <w:pPr>
        <w:pStyle w:val="Normal"/>
        <w:numPr>
          <w:ilvl w:val="0"/>
          <w:numId w:val="1"/>
        </w:numPr>
        <w:spacing w:lineRule="auto" w:line="240"/>
        <w:jc w:val="both"/>
        <w:rPr>
          <w:color w:val="000000"/>
        </w:rPr>
      </w:pPr>
      <w:r>
        <w:rPr>
          <w:color w:val="000000"/>
          <w:szCs w:val="24"/>
          <w:lang w:val="en-GB"/>
        </w:rPr>
        <w:t xml:space="preserve">Vedernikov A. I., Lobova N. A., Kuz’mina L. G., Strelenko Yu. A., Alfimov M. V., Howard J. A. K., Gromov S. P. “Pseudorotaxane complexes between viologen vinylogs and cucurbit[7]uril: New prototype of photocontrolled molecular machine.” // </w:t>
      </w:r>
      <w:r>
        <w:rPr>
          <w:i/>
          <w:color w:val="000000"/>
          <w:szCs w:val="24"/>
          <w:lang w:val="en-GB"/>
        </w:rPr>
        <w:t xml:space="preserve">J. Mol. Struct. </w:t>
      </w:r>
      <w:r>
        <w:rPr>
          <w:color w:val="000000"/>
          <w:szCs w:val="24"/>
          <w:lang w:val="en-GB"/>
        </w:rPr>
        <w:t xml:space="preserve">– 2011. – V. 989. – P. 114–121. </w:t>
      </w:r>
    </w:p>
    <w:p>
      <w:pPr>
        <w:pStyle w:val="Normal"/>
        <w:numPr>
          <w:ilvl w:val="0"/>
          <w:numId w:val="1"/>
        </w:numPr>
        <w:spacing w:lineRule="auto" w:line="240"/>
        <w:jc w:val="both"/>
        <w:rPr>
          <w:color w:val="000000"/>
        </w:rPr>
      </w:pPr>
      <w:r>
        <w:rPr>
          <w:color w:val="000000"/>
          <w:szCs w:val="24"/>
          <w:lang w:val="en-GB"/>
        </w:rPr>
        <w:t xml:space="preserve">Gromov S. P., Vedernikov A. I., Lobova N. A., Kuz’mina L. G., Basok S. S., Strelenko Y. A., Alfimov M. V., Howard J. A. K. “Controlled self-assembly of bis(crown)stilbenes into unusual bis-sandwich complexes: structure and stereoselective [2+2] photocycloaddition.” // </w:t>
      </w:r>
      <w:r>
        <w:rPr>
          <w:i/>
          <w:color w:val="000000"/>
          <w:szCs w:val="24"/>
          <w:lang w:val="en-GB"/>
        </w:rPr>
        <w:t>New J. Chem.</w:t>
      </w:r>
      <w:r>
        <w:rPr>
          <w:color w:val="000000"/>
          <w:szCs w:val="24"/>
          <w:lang w:val="en-GB"/>
        </w:rPr>
        <w:t xml:space="preserve"> – 2011 – V. 35. – P. 724–737. </w:t>
      </w:r>
    </w:p>
    <w:p>
      <w:pPr>
        <w:pStyle w:val="Normal"/>
        <w:numPr>
          <w:ilvl w:val="0"/>
          <w:numId w:val="1"/>
        </w:numPr>
        <w:spacing w:lineRule="auto" w:line="240"/>
        <w:jc w:val="both"/>
        <w:rPr>
          <w:color w:val="000000"/>
        </w:rPr>
      </w:pPr>
      <w:r>
        <w:rPr>
          <w:color w:val="000000"/>
          <w:szCs w:val="24"/>
          <w:lang w:val="en-GB"/>
        </w:rPr>
        <w:t xml:space="preserve">Zaitsev S. Yu., Zarudnaya E. N., Zaitsev I. S., Tsarkova M. S., Lobova N. A., Vedernikov A. I., Gromov S. P. “Thin films with immobilized bis-crown-ether dye.” // </w:t>
      </w:r>
      <w:r>
        <w:rPr>
          <w:i/>
          <w:color w:val="000000"/>
          <w:szCs w:val="24"/>
          <w:lang w:val="en-GB"/>
        </w:rPr>
        <w:t>Colloids &amp; Surfaces A</w:t>
      </w:r>
      <w:r>
        <w:rPr>
          <w:color w:val="000000"/>
          <w:szCs w:val="24"/>
          <w:lang w:val="en-GB"/>
        </w:rPr>
        <w:t xml:space="preserve">. </w:t>
      </w:r>
      <w:r>
        <w:rPr>
          <w:i/>
          <w:color w:val="000000"/>
          <w:szCs w:val="24"/>
          <w:lang w:val="en-GB"/>
        </w:rPr>
        <w:t xml:space="preserve">– </w:t>
      </w:r>
      <w:r>
        <w:rPr>
          <w:color w:val="000000"/>
          <w:szCs w:val="24"/>
          <w:lang w:val="en-GB"/>
        </w:rPr>
        <w:t xml:space="preserve">2011. - V. 383. – No. 1-3. – P. 120-124. </w:t>
      </w:r>
    </w:p>
    <w:p>
      <w:pPr>
        <w:pStyle w:val="Normal"/>
        <w:numPr>
          <w:ilvl w:val="0"/>
          <w:numId w:val="1"/>
        </w:numPr>
        <w:spacing w:lineRule="auto" w:line="240"/>
        <w:jc w:val="both"/>
        <w:rPr>
          <w:color w:val="000000"/>
        </w:rPr>
      </w:pPr>
      <w:r>
        <w:rPr>
          <w:color w:val="000000"/>
          <w:szCs w:val="24"/>
          <w:lang w:val="en-GB"/>
        </w:rPr>
        <w:t xml:space="preserve">Ryabchun A., Bobrovsky A., Shibaev V., Gromov S., Lobova N., Alfimov M. “Fluorescent and photooptical properties of H-bonded LC-composites based on stilbazole derivative.” // </w:t>
      </w:r>
      <w:r>
        <w:rPr>
          <w:i/>
          <w:color w:val="000000"/>
          <w:szCs w:val="24"/>
          <w:lang w:val="en-GB"/>
        </w:rPr>
        <w:t xml:space="preserve">J. Photochem. Photobiol. A </w:t>
      </w:r>
      <w:r>
        <w:rPr>
          <w:color w:val="000000"/>
          <w:szCs w:val="24"/>
          <w:lang w:val="en-GB"/>
        </w:rPr>
        <w:t xml:space="preserve">– 2011. – V. 221. – No. 1. – P. 22-29. </w:t>
      </w:r>
    </w:p>
    <w:p>
      <w:pPr>
        <w:pStyle w:val="Normal"/>
        <w:numPr>
          <w:ilvl w:val="0"/>
          <w:numId w:val="1"/>
        </w:numPr>
        <w:spacing w:lineRule="auto" w:line="240"/>
        <w:jc w:val="both"/>
        <w:rPr>
          <w:color w:val="000000"/>
        </w:rPr>
      </w:pPr>
      <w:r>
        <w:rPr>
          <w:color w:val="000000"/>
          <w:szCs w:val="24"/>
          <w:lang w:val="en-GB"/>
        </w:rPr>
        <w:t>Vedernikov A. I., Ushakov E. N., Efremova A. A., Kuz’mina L. G., Moiseeva A. A., Lobova N. A., Churakov A. V., Strelenko Y. A., Alfimov M. V., Howard J. A. K., Gromov S. P. “</w:t>
      </w:r>
      <w:r>
        <w:rPr>
          <w:color w:val="000000"/>
          <w:szCs w:val="24"/>
          <w:lang w:val="en-GB" w:eastAsia="en-US"/>
        </w:rPr>
        <w:t>Synthesis, Structure, and Properties of Supramolecular Charge-Transfer Complexes between Bis(18-crown-6)stilbene and Ammonioalkyl Derivatives of 4,4’-Bipyridine and 2,7-Diazapyrene.</w:t>
      </w:r>
      <w:r>
        <w:rPr>
          <w:color w:val="000000"/>
          <w:szCs w:val="24"/>
          <w:lang w:val="en-GB"/>
        </w:rPr>
        <w:t xml:space="preserve">” // </w:t>
      </w:r>
      <w:r>
        <w:rPr>
          <w:i/>
          <w:color w:val="000000"/>
          <w:szCs w:val="24"/>
          <w:lang w:val="en-GB"/>
        </w:rPr>
        <w:t>J</w:t>
      </w:r>
      <w:r>
        <w:rPr>
          <w:color w:val="000000"/>
          <w:szCs w:val="24"/>
          <w:lang w:val="en-GB"/>
        </w:rPr>
        <w:t xml:space="preserve">. </w:t>
      </w:r>
      <w:r>
        <w:rPr>
          <w:i/>
          <w:color w:val="000000"/>
          <w:szCs w:val="24"/>
          <w:lang w:val="en-GB"/>
        </w:rPr>
        <w:t xml:space="preserve">Org. Chem. </w:t>
      </w:r>
      <w:r>
        <w:rPr>
          <w:color w:val="000000"/>
          <w:szCs w:val="24"/>
          <w:lang w:val="en-GB"/>
        </w:rPr>
        <w:t xml:space="preserve">- 2011. - V. 76. – No. 16. - P. 6768–6779. </w:t>
      </w:r>
    </w:p>
    <w:p>
      <w:pPr>
        <w:pStyle w:val="Normal"/>
        <w:numPr>
          <w:ilvl w:val="0"/>
          <w:numId w:val="0"/>
        </w:numPr>
        <w:spacing w:lineRule="auto" w:line="240"/>
        <w:ind w:left="720" w:hanging="0"/>
        <w:jc w:val="both"/>
        <w:rPr>
          <w:color w:val="000000"/>
          <w:szCs w:val="24"/>
        </w:rPr>
      </w:pPr>
      <w:r>
        <w:rPr>
          <w:color w:val="000000"/>
          <w:szCs w:val="24"/>
        </w:rPr>
      </w:r>
    </w:p>
    <w:p>
      <w:pPr>
        <w:pStyle w:val="Normal"/>
        <w:numPr>
          <w:ilvl w:val="0"/>
          <w:numId w:val="0"/>
        </w:numPr>
        <w:spacing w:lineRule="auto" w:line="240"/>
        <w:ind w:left="720" w:hanging="0"/>
        <w:rPr>
          <w:b/>
          <w:b/>
          <w:bCs/>
        </w:rPr>
      </w:pPr>
      <w:r>
        <w:rPr>
          <w:b/>
          <w:bCs/>
          <w:color w:val="000000"/>
          <w:szCs w:val="24"/>
        </w:rPr>
        <w:t>2010</w:t>
      </w:r>
    </w:p>
    <w:p>
      <w:pPr>
        <w:pStyle w:val="Normal"/>
        <w:numPr>
          <w:ilvl w:val="0"/>
          <w:numId w:val="0"/>
        </w:numPr>
        <w:spacing w:lineRule="auto" w:line="240"/>
        <w:ind w:left="720" w:hanging="0"/>
        <w:rPr>
          <w:color w:val="000000"/>
          <w:szCs w:val="24"/>
        </w:rPr>
      </w:pPr>
      <w:r>
        <w:rPr>
          <w:color w:val="000000"/>
          <w:szCs w:val="24"/>
        </w:rPr>
      </w:r>
    </w:p>
    <w:p>
      <w:pPr>
        <w:pStyle w:val="Normal"/>
        <w:numPr>
          <w:ilvl w:val="0"/>
          <w:numId w:val="1"/>
        </w:numPr>
        <w:spacing w:lineRule="auto" w:line="240"/>
        <w:rPr>
          <w:color w:val="000000"/>
        </w:rPr>
      </w:pPr>
      <w:r>
        <w:rPr>
          <w:color w:val="000000"/>
          <w:szCs w:val="24"/>
        </w:rPr>
        <w:t xml:space="preserve">Назаров В. Б., Авакян В. Г., Громов С. П., Ведерников А. И., Фомина М. В., Вершинникова Т. Г., Гак В. Ю., Лобова Н. А., Рудяк В. Ю., Алфимов М. В. “Спектральные свойства, структура и фотоиндуцированное перемещение 4-(2-нафтил)пиридина в полостях циклодекстринов.” // </w:t>
      </w:r>
      <w:r>
        <w:rPr>
          <w:i/>
          <w:color w:val="000000"/>
          <w:szCs w:val="24"/>
        </w:rPr>
        <w:t>Изв. АН</w:t>
      </w:r>
      <w:r>
        <w:rPr>
          <w:i/>
          <w:color w:val="000000"/>
          <w:szCs w:val="24"/>
          <w:lang w:val="en-US"/>
        </w:rPr>
        <w:t xml:space="preserve">, </w:t>
      </w:r>
      <w:r>
        <w:rPr>
          <w:i/>
          <w:color w:val="000000"/>
          <w:szCs w:val="24"/>
        </w:rPr>
        <w:t>Сер</w:t>
      </w:r>
      <w:r>
        <w:rPr>
          <w:i/>
          <w:color w:val="000000"/>
          <w:szCs w:val="24"/>
          <w:lang w:val="en-US"/>
        </w:rPr>
        <w:t xml:space="preserve">. </w:t>
      </w:r>
      <w:r>
        <w:rPr>
          <w:i/>
          <w:color w:val="000000"/>
          <w:szCs w:val="24"/>
        </w:rPr>
        <w:t>хим</w:t>
      </w:r>
      <w:r>
        <w:rPr>
          <w:color w:val="000000"/>
          <w:szCs w:val="24"/>
          <w:lang w:val="en-US"/>
        </w:rPr>
        <w:t xml:space="preserve">. – 2010. - № 5. – </w:t>
      </w:r>
      <w:r>
        <w:rPr>
          <w:color w:val="000000"/>
          <w:szCs w:val="24"/>
        </w:rPr>
        <w:t>С</w:t>
      </w:r>
      <w:r>
        <w:rPr>
          <w:color w:val="000000"/>
          <w:szCs w:val="24"/>
          <w:lang w:val="en-US"/>
        </w:rPr>
        <w:t xml:space="preserve">. 919-931 </w:t>
      </w:r>
      <w:r>
        <w:rPr>
          <w:color w:val="000000"/>
          <w:lang w:val="en-US"/>
        </w:rPr>
        <w:t>[</w:t>
      </w:r>
      <w:r>
        <w:rPr>
          <w:i/>
          <w:color w:val="000000"/>
          <w:lang w:val="en-US"/>
        </w:rPr>
        <w:t>Russ. Chem. Bull.</w:t>
      </w:r>
      <w:r>
        <w:rPr>
          <w:color w:val="000000"/>
          <w:lang w:val="en-US"/>
        </w:rPr>
        <w:t xml:space="preserve">, 2010, </w:t>
      </w:r>
      <w:r>
        <w:rPr>
          <w:b/>
          <w:color w:val="000000"/>
          <w:lang w:val="en-US"/>
        </w:rPr>
        <w:t>59</w:t>
      </w:r>
      <w:r>
        <w:rPr>
          <w:color w:val="000000"/>
          <w:lang w:val="en-US"/>
        </w:rPr>
        <w:t xml:space="preserve">, </w:t>
      </w:r>
      <w:r>
        <w:rPr>
          <w:color w:val="000000"/>
        </w:rPr>
        <w:t>ХХХ</w:t>
      </w:r>
      <w:r>
        <w:rPr>
          <w:color w:val="000000"/>
          <w:lang w:val="en-US"/>
        </w:rPr>
        <w:t xml:space="preserve"> (Engl. Transl.)]</w:t>
      </w:r>
      <w:r>
        <w:rPr>
          <w:color w:val="000000"/>
          <w:szCs w:val="24"/>
          <w:lang w:val="en-US"/>
        </w:rPr>
        <w:t xml:space="preserve">. </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4">
    <w:name w:val="ListLabel 4"/>
    <w:qFormat/>
    <w:rPr>
      <w:rFonts w:eastAsia="Times New Roman" w:cs="Calibri"/>
      <w:bCs/>
      <w:iCs/>
      <w:szCs w:val="24"/>
      <w:highlight w:val="yellow"/>
      <w:lang w:val="en-US" w:eastAsia="ru-RU"/>
    </w:rPr>
  </w:style>
  <w:style w:type="character" w:styleId="ListLabel5">
    <w:name w:val="ListLabel 5"/>
    <w:qFormat/>
    <w:rPr>
      <w:rFonts w:eastAsia="Times New Roman" w:cs="Calibri"/>
      <w:bCs/>
      <w:iCs/>
      <w:szCs w:val="24"/>
      <w:highlight w:val="yellow"/>
      <w:lang w:val="en-US" w:eastAsia="ru-RU"/>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6">
    <w:name w:val="ListLabel 6"/>
    <w:qFormat/>
    <w:rPr>
      <w:rFonts w:eastAsia="Times New Roman" w:cs="Calibri"/>
      <w:bCs/>
      <w:iCs/>
      <w:szCs w:val="24"/>
      <w:highlight w:val="yellow"/>
      <w:lang w:val="en-US" w:eastAsia="ru-RU"/>
    </w:rPr>
  </w:style>
  <w:style w:type="character" w:styleId="ListLabel7">
    <w:name w:val="ListLabel 7"/>
    <w:qFormat/>
    <w:rPr>
      <w:rFonts w:eastAsia="Times New Roman" w:cs="Calibri"/>
      <w:bCs/>
      <w:iCs/>
      <w:szCs w:val="24"/>
      <w:highlight w:val="yellow"/>
      <w:lang w:val="en-US" w:eastAsia="ru-RU"/>
    </w:rPr>
  </w:style>
  <w:style w:type="character" w:styleId="ListLabel8">
    <w:name w:val="ListLabel 8"/>
    <w:qFormat/>
    <w:rPr>
      <w:rFonts w:eastAsia="Times New Roman" w:cs="Calibri"/>
      <w:bCs/>
      <w:iCs/>
      <w:szCs w:val="24"/>
      <w:highlight w:val="yellow"/>
      <w:lang w:val="en-US" w:eastAsia="ru-RU"/>
    </w:rPr>
  </w:style>
  <w:style w:type="character" w:styleId="ListLabel9">
    <w:name w:val="ListLabel 9"/>
    <w:qFormat/>
    <w:rPr>
      <w:rFonts w:eastAsia="Times New Roman" w:cs="Calibri"/>
      <w:bCs/>
      <w:iCs/>
      <w:szCs w:val="24"/>
      <w:highlight w:val="yellow"/>
      <w:lang w:val="en-US" w:eastAsia="ru-RU"/>
    </w:rPr>
  </w:style>
  <w:style w:type="character" w:styleId="ListLabel10">
    <w:name w:val="ListLabel 10"/>
    <w:qFormat/>
    <w:rPr>
      <w:rFonts w:eastAsia="Times New Roman" w:cs="Calibri"/>
      <w:bCs/>
      <w:iCs/>
      <w:szCs w:val="24"/>
      <w:highlight w:val="yellow"/>
      <w:lang w:val="en-US" w:eastAsia="ru-RU"/>
    </w:rPr>
  </w:style>
  <w:style w:type="character" w:styleId="ListLabel11">
    <w:name w:val="ListLabel 11"/>
    <w:qFormat/>
    <w:rPr>
      <w:rFonts w:eastAsia="Times New Roman" w:cs="Calibri"/>
      <w:bCs/>
      <w:iCs/>
      <w:szCs w:val="24"/>
      <w:highlight w:val="yellow"/>
      <w:lang w:val="en-US" w:eastAsia="ru-RU"/>
    </w:rPr>
  </w:style>
  <w:style w:type="character" w:styleId="WW8Num4z0">
    <w:name w:val="WW8Num4z0"/>
    <w:qFormat/>
    <w:rPr>
      <w:rFonts w:eastAsia="Times New Roman" w:cs="Symbol"/>
      <w:iCs/>
      <w:szCs w:val="24"/>
      <w:lang w:val="en-US"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12">
    <w:name w:val="ListLabel 12"/>
    <w:qFormat/>
    <w:rPr>
      <w:rFonts w:eastAsia="Times New Roman" w:cs="Calibri"/>
      <w:bCs/>
      <w:iCs/>
      <w:szCs w:val="24"/>
      <w:highlight w:val="yellow"/>
      <w:lang w:val="en-US" w:eastAsia="ru-RU"/>
    </w:rPr>
  </w:style>
  <w:style w:type="character" w:styleId="ListLabel13">
    <w:name w:val="ListLabel 13"/>
    <w:qFormat/>
    <w:rPr>
      <w:rFonts w:eastAsia="Times New Roman" w:cs="Symbol"/>
      <w:b w:val="false"/>
      <w:iCs/>
      <w:szCs w:val="24"/>
      <w:lang w:val="en-US" w:eastAsia="ru-RU"/>
    </w:rPr>
  </w:style>
  <w:style w:type="character" w:styleId="ListLabel14">
    <w:name w:val="ListLabel 14"/>
    <w:qFormat/>
    <w:rPr>
      <w:rFonts w:eastAsia="Times New Roman" w:cs="Calibri"/>
      <w:bCs/>
      <w:iCs/>
      <w:szCs w:val="24"/>
      <w:highlight w:val="yellow"/>
      <w:lang w:val="en-US" w:eastAsia="ru-RU"/>
    </w:rPr>
  </w:style>
  <w:style w:type="character" w:styleId="ListLabel15">
    <w:name w:val="ListLabel 15"/>
    <w:qFormat/>
    <w:rPr>
      <w:rFonts w:eastAsia="Times New Roman" w:cs="Symbol"/>
      <w:b w:val="false"/>
      <w:iCs/>
      <w:szCs w:val="24"/>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16">
    <w:name w:val="ListLabel 16"/>
    <w:qFormat/>
    <w:rPr>
      <w:rFonts w:eastAsia="Times New Roman" w:cs="Calibri"/>
      <w:bCs/>
      <w:iCs/>
      <w:szCs w:val="24"/>
      <w:highlight w:val="yellow"/>
      <w:lang w:val="en-US" w:eastAsia="ru-RU"/>
    </w:rPr>
  </w:style>
  <w:style w:type="character" w:styleId="ListLabel17">
    <w:name w:val="ListLabel 17"/>
    <w:qFormat/>
    <w:rPr>
      <w:rFonts w:eastAsia="Times New Roman" w:cs="Symbol"/>
      <w:b w:val="false"/>
      <w:iCs/>
      <w:szCs w:val="24"/>
      <w:lang w:val="en-US" w:eastAsia="ru-RU"/>
    </w:rPr>
  </w:style>
  <w:style w:type="character" w:styleId="ListLabel18">
    <w:name w:val="ListLabel 18"/>
    <w:qFormat/>
    <w:rPr>
      <w:rFonts w:eastAsia="MS Mincho;ＭＳ 明朝"/>
      <w:b w:val="false"/>
      <w:lang w:val="en-US" w:eastAsia="ja-JP"/>
    </w:rPr>
  </w:style>
  <w:style w:type="character" w:styleId="ListLabel19">
    <w:name w:val="ListLabel 19"/>
    <w:qFormat/>
    <w:rPr>
      <w:rFonts w:eastAsia="Times New Roman" w:cs="Calibri"/>
      <w:bCs/>
      <w:iCs/>
      <w:szCs w:val="24"/>
      <w:highlight w:val="yellow"/>
      <w:lang w:val="en-US" w:eastAsia="ru-RU"/>
    </w:rPr>
  </w:style>
  <w:style w:type="character" w:styleId="ListLabel20">
    <w:name w:val="ListLabel 20"/>
    <w:qFormat/>
    <w:rPr>
      <w:rFonts w:eastAsia="Times New Roman" w:cs="Symbol"/>
      <w:b w:val="false"/>
      <w:iCs/>
      <w:szCs w:val="24"/>
      <w:lang w:val="en-US" w:eastAsia="ru-RU"/>
    </w:rPr>
  </w:style>
  <w:style w:type="character" w:styleId="ListLabel21">
    <w:name w:val="ListLabel 21"/>
    <w:qFormat/>
    <w:rPr>
      <w:rFonts w:eastAsia="MS Mincho;ＭＳ 明朝"/>
      <w:b w:val="false"/>
      <w:lang w:val="en-US" w:eastAsia="ja-JP"/>
    </w:rPr>
  </w:style>
  <w:style w:type="character" w:styleId="ListLabel22">
    <w:name w:val="ListLabel 22"/>
    <w:qFormat/>
    <w:rPr>
      <w:rFonts w:eastAsia="Times New Roman" w:cs="Calibri"/>
      <w:bCs/>
      <w:iCs/>
      <w:szCs w:val="24"/>
      <w:highlight w:val="yellow"/>
      <w:lang w:val="en-US" w:eastAsia="ru-RU"/>
    </w:rPr>
  </w:style>
  <w:style w:type="character" w:styleId="ListLabel23">
    <w:name w:val="ListLabel 23"/>
    <w:qFormat/>
    <w:rPr>
      <w:rFonts w:eastAsia="Times New Roman" w:cs="Symbol"/>
      <w:b w:val="false"/>
      <w:iCs/>
      <w:szCs w:val="24"/>
      <w:lang w:val="en-US" w:eastAsia="ru-RU"/>
    </w:rPr>
  </w:style>
  <w:style w:type="character" w:styleId="ListLabel24">
    <w:name w:val="ListLabel 24"/>
    <w:qFormat/>
    <w:rPr>
      <w:rFonts w:eastAsia="MS Mincho;ＭＳ 明朝"/>
      <w:b w:val="false"/>
      <w:lang w:val="en-US" w:eastAsia="ja-JP"/>
    </w:rPr>
  </w:style>
  <w:style w:type="character" w:styleId="ListLabel25">
    <w:name w:val="ListLabel 25"/>
    <w:qFormat/>
    <w:rPr>
      <w:rFonts w:eastAsia="Times New Roman" w:cs="Calibri"/>
      <w:bCs/>
      <w:iCs/>
      <w:szCs w:val="24"/>
      <w:highlight w:val="yellow"/>
      <w:lang w:val="en-US" w:eastAsia="ru-RU"/>
    </w:rPr>
  </w:style>
  <w:style w:type="character" w:styleId="ListLabel26">
    <w:name w:val="ListLabel 26"/>
    <w:qFormat/>
    <w:rPr>
      <w:rFonts w:eastAsia="Times New Roman" w:cs="Symbol"/>
      <w:b w:val="false"/>
      <w:iCs/>
      <w:szCs w:val="24"/>
      <w:lang w:val="en-US" w:eastAsia="ru-RU"/>
    </w:rPr>
  </w:style>
  <w:style w:type="character" w:styleId="ListLabel27">
    <w:name w:val="ListLabel 27"/>
    <w:qFormat/>
    <w:rPr>
      <w:rFonts w:eastAsia="MS Mincho;ＭＳ 明朝"/>
      <w:b w:val="false"/>
      <w:lang w:val="en-US" w:eastAsia="ja-JP"/>
    </w:rPr>
  </w:style>
  <w:style w:type="character" w:styleId="ListLabel28">
    <w:name w:val="ListLabel 28"/>
    <w:qFormat/>
    <w:rPr>
      <w:rFonts w:eastAsia="Times New Roman" w:cs="Calibri"/>
      <w:bCs/>
      <w:iCs/>
      <w:szCs w:val="24"/>
      <w:highlight w:val="yellow"/>
      <w:lang w:val="en-US" w:eastAsia="ru-RU"/>
    </w:rPr>
  </w:style>
  <w:style w:type="character" w:styleId="ListLabel29">
    <w:name w:val="ListLabel 29"/>
    <w:qFormat/>
    <w:rPr>
      <w:rFonts w:eastAsia="Times New Roman" w:cs="Symbol"/>
      <w:b w:val="false"/>
      <w:iCs/>
      <w:szCs w:val="24"/>
      <w:lang w:val="en-US" w:eastAsia="ru-RU"/>
    </w:rPr>
  </w:style>
  <w:style w:type="character" w:styleId="ListLabel30">
    <w:name w:val="ListLabel 30"/>
    <w:qFormat/>
    <w:rPr>
      <w:rFonts w:eastAsia="MS Mincho;ＭＳ 明朝"/>
      <w:b w:val="false"/>
      <w:lang w:val="en-US" w:eastAsia="ja-JP"/>
    </w:rPr>
  </w:style>
  <w:style w:type="character" w:styleId="ListLabel31">
    <w:name w:val="ListLabel 31"/>
    <w:qFormat/>
    <w:rPr>
      <w:rFonts w:eastAsia="Times New Roman" w:cs="Calibri"/>
      <w:bCs/>
      <w:iCs/>
      <w:szCs w:val="24"/>
      <w:highlight w:val="yellow"/>
      <w:lang w:val="en-US" w:eastAsia="ru-RU"/>
    </w:rPr>
  </w:style>
  <w:style w:type="character" w:styleId="ListLabel32">
    <w:name w:val="ListLabel 32"/>
    <w:qFormat/>
    <w:rPr>
      <w:rFonts w:eastAsia="Times New Roman" w:cs="Symbol"/>
      <w:b w:val="false"/>
      <w:iCs/>
      <w:szCs w:val="24"/>
      <w:lang w:val="en-US" w:eastAsia="ru-RU"/>
    </w:rPr>
  </w:style>
  <w:style w:type="character" w:styleId="ListLabel33">
    <w:name w:val="ListLabel 33"/>
    <w:qFormat/>
    <w:rPr>
      <w:rFonts w:eastAsia="MS Mincho;ＭＳ 明朝"/>
      <w:b w:val="false"/>
      <w:lang w:val="en-US" w:eastAsia="ja-JP"/>
    </w:rPr>
  </w:style>
  <w:style w:type="character" w:styleId="WW8Num14z0">
    <w:name w:val="WW8Num14z0"/>
    <w:qFormat/>
    <w:rPr>
      <w:rFonts w:ascii="Times New Roman" w:hAnsi="Times New Roman" w:eastAsia="Calibri" w:cs="Times New Roman"/>
      <w:iCs/>
      <w:spacing w:val="1"/>
      <w:sz w:val="24"/>
      <w:szCs w:val="24"/>
      <w:highlight w:val="red"/>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34">
    <w:name w:val="ListLabel 34"/>
    <w:qFormat/>
    <w:rPr>
      <w:rFonts w:eastAsia="Times New Roman" w:cs="Calibri"/>
      <w:bCs/>
      <w:iCs/>
      <w:szCs w:val="24"/>
      <w:highlight w:val="yellow"/>
      <w:lang w:val="en-US" w:eastAsia="ru-RU"/>
    </w:rPr>
  </w:style>
  <w:style w:type="character" w:styleId="ListLabel35">
    <w:name w:val="ListLabel 35"/>
    <w:qFormat/>
    <w:rPr>
      <w:rFonts w:eastAsia="Times New Roman" w:cs="Symbol"/>
      <w:b w:val="false"/>
      <w:iCs/>
      <w:szCs w:val="24"/>
      <w:lang w:val="en-US" w:eastAsia="ru-RU"/>
    </w:rPr>
  </w:style>
  <w:style w:type="character" w:styleId="ListLabel36">
    <w:name w:val="ListLabel 36"/>
    <w:qFormat/>
    <w:rPr>
      <w:rFonts w:eastAsia="MS Mincho;ＭＳ 明朝"/>
      <w:b w:val="false"/>
      <w:lang w:val="en-US" w:eastAsia="ja-JP"/>
    </w:rPr>
  </w:style>
  <w:style w:type="character" w:styleId="ListLabel37">
    <w:name w:val="ListLabel 37"/>
    <w:qFormat/>
    <w:rPr>
      <w:rFonts w:eastAsia="Calibri" w:cs="Times New Roman"/>
      <w:iCs/>
      <w:spacing w:val="1"/>
      <w:sz w:val="24"/>
      <w:szCs w:val="24"/>
      <w:highlight w:val="red"/>
      <w:lang w:val="en-US"/>
    </w:rPr>
  </w:style>
  <w:style w:type="character" w:styleId="ListLabel38">
    <w:name w:val="ListLabel 38"/>
    <w:qFormat/>
    <w:rPr>
      <w:rFonts w:eastAsia="Times New Roman" w:cs="Calibri"/>
      <w:bCs/>
      <w:iCs/>
      <w:szCs w:val="24"/>
      <w:highlight w:val="yellow"/>
      <w:lang w:val="en-US" w:eastAsia="ru-RU"/>
    </w:rPr>
  </w:style>
  <w:style w:type="character" w:styleId="ListLabel39">
    <w:name w:val="ListLabel 39"/>
    <w:qFormat/>
    <w:rPr>
      <w:rFonts w:eastAsia="Times New Roman" w:cs="Symbol"/>
      <w:b w:val="false"/>
      <w:iCs/>
      <w:szCs w:val="24"/>
      <w:lang w:val="en-US" w:eastAsia="ru-RU"/>
    </w:rPr>
  </w:style>
  <w:style w:type="character" w:styleId="ListLabel40">
    <w:name w:val="ListLabel 40"/>
    <w:qFormat/>
    <w:rPr>
      <w:rFonts w:eastAsia="MS Mincho;ＭＳ 明朝"/>
      <w:b w:val="false"/>
      <w:lang w:val="en-US" w:eastAsia="ja-JP"/>
    </w:rPr>
  </w:style>
  <w:style w:type="character" w:styleId="ListLabel41">
    <w:name w:val="ListLabel 41"/>
    <w:qFormat/>
    <w:rPr>
      <w:rFonts w:eastAsia="Times New Roman" w:cs="Calibri"/>
      <w:bCs/>
      <w:iCs/>
      <w:szCs w:val="24"/>
      <w:highlight w:val="yellow"/>
      <w:lang w:val="en-US" w:eastAsia="ru-RU"/>
    </w:rPr>
  </w:style>
  <w:style w:type="character" w:styleId="ListLabel42">
    <w:name w:val="ListLabel 42"/>
    <w:qFormat/>
    <w:rPr>
      <w:rFonts w:eastAsia="Times New Roman" w:cs="Symbol"/>
      <w:b w:val="false"/>
      <w:iCs/>
      <w:szCs w:val="24"/>
      <w:lang w:val="en-US" w:eastAsia="ru-RU"/>
    </w:rPr>
  </w:style>
  <w:style w:type="character" w:styleId="ListLabel43">
    <w:name w:val="ListLabel 43"/>
    <w:qFormat/>
    <w:rPr>
      <w:rFonts w:eastAsia="MS Mincho;ＭＳ 明朝"/>
      <w:b w:val="false"/>
      <w:lang w:val="en-US" w:eastAsia="ja-JP"/>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2">
    <w:name w:val="WW8Num2"/>
    <w:qFormat/>
  </w:style>
  <w:style w:type="numbering" w:styleId="WW8Num1">
    <w:name w:val="WW8Num1"/>
    <w:qFormat/>
  </w:style>
  <w:style w:type="numbering" w:styleId="WW8Num4">
    <w:name w:val="WW8Num4"/>
    <w:qFormat/>
  </w:style>
  <w:style w:type="numbering" w:styleId="WW8Num3">
    <w:name w:val="WW8Num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LibreOffice/5.1.4.2$Linux_X86_64 LibreOffice_project/10m0$Build-2</Application>
  <Pages>3</Pages>
  <Words>1036</Words>
  <Characters>5606</Characters>
  <CharactersWithSpaces>6640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2017-05-02T13:20:32Z</dcterms:created>
  <dc:creator/>
  <dc:description/>
  <dc:language>en-US</dc:language>
  <cp:lastModifiedBy/>
  <dcterms:modified xsi:type="dcterms:W3CDTF">2017-05-18T12:18:30Z</dcterms:modified>
  <cp:revision>24</cp:revision>
  <dc:subject/>
  <dc:title/>
</cp:coreProperties>
</file>