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2016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>Исследование методами ЭПР и флуоресценции молекулярной динамики липидов в бислоях, адсорбированны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на пористом силикагеле / В.А. Лившиц, Б. Б. Мешков, А. В. Кошкин, Б. Г. Дзиковский, М. В. Алфимов // Химия высоких энергий – принята в печать.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lef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left"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Исследование методами ЭПР и 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DFT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структуры и молекулярной динамики  комплексов гость/хозяин радикала ТЕМПО с кукурбитурилом. / В.А. Лившиц, Б.Б. Мешков, В.Г. Авакян, Б.Г. Дзиковский, М.В. Алфимов // Химия высоких энергий – принята в печать.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2015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Times New Roman" w:cs="NewtonCPro-Bold" w:ascii="NewtonCPro-Bold" w:hAnsi="NewtonCPro-Bold"/>
          <w:bCs/>
          <w:szCs w:val="24"/>
          <w:lang w:eastAsia="ru-RU"/>
        </w:rPr>
        <w:t>Мешков Б.Б., Ионова И.В., Цыбышев В.П., Алфимов М.В., Лившиц В.А.</w:t>
      </w:r>
      <w:r>
        <w:rPr>
          <w:rFonts w:eastAsia="Times New Roman" w:cs="NewtonCPro-Bold"/>
          <w:b/>
          <w:bCs/>
          <w:sz w:val="20"/>
          <w:szCs w:val="20"/>
          <w:lang w:eastAsia="ru-RU"/>
        </w:rPr>
        <w:t xml:space="preserve"> «</w:t>
      </w:r>
      <w:r>
        <w:rPr>
          <w:rFonts w:eastAsia="Times New Roman"/>
          <w:szCs w:val="24"/>
          <w:lang w:eastAsia="ru-RU"/>
        </w:rPr>
        <w:t>Детектирование низких концентраций летучих аминов в водных растворах с использованием рН-зависимых флуорофоров»</w:t>
      </w:r>
      <w:r>
        <w:rPr>
          <w:rFonts w:eastAsia="Times New Roman" w:cs="FuturaFuturisC" w:ascii="FuturaFuturisC" w:hAnsi="FuturaFuturisC"/>
          <w:sz w:val="14"/>
          <w:szCs w:val="14"/>
          <w:lang w:eastAsia="ru-RU"/>
        </w:rPr>
        <w:t xml:space="preserve"> // </w:t>
      </w:r>
      <w:r>
        <w:rPr>
          <w:rFonts w:eastAsia="Times New Roman"/>
          <w:i/>
          <w:szCs w:val="24"/>
          <w:lang w:eastAsia="ru-RU"/>
        </w:rPr>
        <w:t>Российские нанотехнологии</w:t>
      </w:r>
      <w:r>
        <w:rPr>
          <w:rFonts w:eastAsia="Times New Roman"/>
          <w:szCs w:val="24"/>
          <w:lang w:eastAsia="ru-RU"/>
        </w:rPr>
        <w:t>. −2015.− Т.10. −№5-6. −С.1-7.</w:t>
      </w:r>
    </w:p>
    <w:p>
      <w:pPr>
        <w:pStyle w:val="Normal"/>
        <w:numPr>
          <w:ilvl w:val="0"/>
          <w:numId w:val="0"/>
        </w:numPr>
        <w:ind w:left="786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2014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 xml:space="preserve">Мешков Б.Б., Ионов Д.С., Кошкин А.В., Алфимов М.В., Лившиц В. А. Исследование детектирования летучих алифатических и ароматических аминов с помощью флуоресцентного рН-индикатора этилэозина в полимерных матрицах // </w:t>
      </w:r>
      <w:r>
        <w:rPr>
          <w:i/>
        </w:rPr>
        <w:t>Российские нанотехнологии</w:t>
      </w:r>
      <w:r>
        <w:rPr/>
        <w:t xml:space="preserve"> – 2014. – 9. – № 5-6. – С. 14–19. 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2013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Л. В. Воронина, Б. Б. Мешков, Цыбышев В.П.,</w:t>
      </w:r>
      <w:r>
        <w:rPr>
          <w:rFonts w:eastAsia="Times New Roman"/>
          <w:i/>
          <w:iCs/>
          <w:color w:val="00008F"/>
          <w:lang w:eastAsia="ru-RU"/>
        </w:rPr>
        <w:t xml:space="preserve"> </w:t>
      </w:r>
      <w:r>
        <w:rPr/>
        <w:t>М. В. Алфимов, В. А. Лившиц "Перенос энергии возбуждения от нафталина на флуорофор-индикатор на поверхности микросфер силикагеля с ковалентно или физически связанными циклодекстринами". Российские нанотехнологии. – 2013.-Т.8 выпуск 9-10. С. 30-37.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И. В. Ионова, Л. В. Воронина, Б. Б. Мешков, М. В. Алфимов, В. А. Лившиц "Комплексообразование спиновых зондов из газовой фазы с циклодекстринами, связанными с микросферами силикагеля. Молекулярная динамика зондов в комплексах и влияние на нее паров ароматических углеводородов." Российские нанотехнологии. – 2013.-Т.8. выпуск 9-10, С. 21-29.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Б.Б. Мешков, И.В. Ионова, В.П. Цыбышев, М.В. Алфимов, В.А. Лившиц. «Детектирование низких концентраций летучих аминов в водных растворах с использованием рН-зависимых флуорофоров». Российские нанотехнологии, Т.8.  №3-4, 2013г.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2012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 xml:space="preserve">Сажников В.А., Музафаров А.М., Копысов В.Н., Аристархов В.М., Кононевич Ю.Н., Мешков И.Б., Воронина Н.Н., Алфимов М.В. «Кремнеземные наночастицы с ковалентно привитым флуорофором как супрамолекулярные хеморецепторы с селективным откликом на аналиты.» // </w:t>
      </w:r>
      <w:r>
        <w:rPr>
          <w:i/>
          <w:szCs w:val="24"/>
        </w:rPr>
        <w:t>Российские нанотехнологии</w:t>
      </w:r>
      <w:r>
        <w:rPr>
          <w:szCs w:val="24"/>
        </w:rPr>
        <w:t xml:space="preserve">. – 2012. – Т. 7. - № 1-2. – С. 24-30. 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  <w:t>2011</w:t>
      </w:r>
    </w:p>
    <w:p>
      <w:pPr>
        <w:pStyle w:val="Normal"/>
        <w:numPr>
          <w:ilvl w:val="0"/>
          <w:numId w:val="0"/>
        </w:numPr>
        <w:ind w:left="786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Б.Б. Мешков, В.П. Цыбышев, В.Б. Назаров, М.В. Алфимов, В.А. Лившиц.</w:t>
      </w:r>
      <w:r>
        <w:rPr>
          <w:b/>
          <w:bCs/>
        </w:rPr>
        <w:t xml:space="preserve"> </w:t>
      </w:r>
      <w:r>
        <w:rPr/>
        <w:t xml:space="preserve">Детектирование летучих ароматических углеводородов из газовой фазы по спектрам флуоресценции и поглощения комплексов гость-хозяин с циклодекстринами в гелевых матрицах. </w:t>
      </w:r>
      <w:r>
        <w:rPr>
          <w:i/>
          <w:iCs/>
        </w:rPr>
        <w:t>Российские нанотехнологии</w:t>
      </w:r>
      <w:r>
        <w:rPr/>
        <w:t>. – 2011. – Т. 6 – выпуск 5-6. – С. 43-51.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ewtonCPro-Bold">
    <w:charset w:val="01"/>
    <w:family w:val="roman"/>
    <w:pitch w:val="variable"/>
  </w:font>
  <w:font w:name="FuturaFuturis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/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/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/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/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/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/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/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">
    <w:name w:val="ListLabel 1"/>
    <w:qFormat/>
    <w:rPr>
      <w:rFonts w:eastAsia="Times New Roman" w:cs="Symbol"/>
      <w:iCs/>
      <w:szCs w:val="24"/>
      <w:lang w:val="en-US" w:eastAsia="ru-RU"/>
    </w:rPr>
  </w:style>
  <w:style w:type="character" w:styleId="ListLabel2">
    <w:name w:val="ListLabel 2"/>
    <w:qFormat/>
    <w:rPr>
      <w:rFonts w:eastAsia="Times New Roman" w:cs="Symbol"/>
      <w:iCs/>
      <w:szCs w:val="24"/>
      <w:lang w:val="en-US" w:eastAsia="ru-RU"/>
    </w:rPr>
  </w:style>
  <w:style w:type="character" w:styleId="ListLabel3">
    <w:name w:val="ListLabel 3"/>
    <w:qFormat/>
    <w:rPr>
      <w:rFonts w:eastAsia="Times New Roman" w:cs="Symbol"/>
      <w:iCs/>
      <w:szCs w:val="24"/>
      <w:lang w:val="en-US" w:eastAsia="ru-RU"/>
    </w:rPr>
  </w:style>
  <w:style w:type="character" w:styleId="ListLabel4">
    <w:name w:val="ListLabel 4"/>
    <w:qFormat/>
    <w:rPr>
      <w:rFonts w:eastAsia="Times New Roman" w:cs="Symbol"/>
      <w:iCs/>
      <w:szCs w:val="24"/>
      <w:lang w:val="en-US" w:eastAsia="ru-RU"/>
    </w:rPr>
  </w:style>
  <w:style w:type="character" w:styleId="ListLabel5">
    <w:name w:val="ListLabel 5"/>
    <w:qFormat/>
    <w:rPr>
      <w:rFonts w:eastAsia="Times New Roman" w:cs="Symbol"/>
      <w:iCs/>
      <w:szCs w:val="24"/>
      <w:lang w:val="en-US" w:eastAsia="ru-RU"/>
    </w:rPr>
  </w:style>
  <w:style w:type="character" w:styleId="ListLabel6">
    <w:name w:val="ListLabel 6"/>
    <w:qFormat/>
    <w:rPr>
      <w:rFonts w:eastAsia="Times New Roman" w:cs="Symbol"/>
      <w:iCs/>
      <w:szCs w:val="24"/>
      <w:lang w:val="en-US" w:eastAsia="ru-RU"/>
    </w:rPr>
  </w:style>
  <w:style w:type="character" w:styleId="ListLabel7">
    <w:name w:val="ListLabel 7"/>
    <w:qFormat/>
    <w:rPr>
      <w:rFonts w:eastAsia="Times New Roman" w:cs="Symbol"/>
      <w:iCs/>
      <w:szCs w:val="24"/>
      <w:lang w:val="en-US" w:eastAsia="ru-RU"/>
    </w:rPr>
  </w:style>
  <w:style w:type="character" w:styleId="ListLabel8">
    <w:name w:val="ListLabel 8"/>
    <w:qFormat/>
    <w:rPr>
      <w:rFonts w:eastAsia="Times New Roman" w:cs="Symbol"/>
      <w:iCs/>
      <w:szCs w:val="24"/>
      <w:lang w:val="en-US" w:eastAsia="ru-RU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2</Pages>
  <Words>339</Words>
  <Characters>2180</Characters>
  <CharactersWithSpaces>2513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2017-05-03T16:02:19Z</dcterms:created>
  <dc:creator/>
  <dc:description/>
  <dc:language>en-US</dc:language>
  <cp:lastModifiedBy/>
  <dcterms:modified xsi:type="dcterms:W3CDTF">2017-05-18T12:21:27Z</dcterms:modified>
  <cp:revision>10</cp:revision>
  <dc:subject/>
  <dc:title/>
</cp:coreProperties>
</file>